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16E" w:rsidRDefault="0085716E" w:rsidP="00B01DAD">
      <w:pPr>
        <w:outlineLvl w:val="0"/>
        <w:rPr>
          <w:b/>
        </w:rPr>
      </w:pPr>
    </w:p>
    <w:p w:rsidR="0085716E" w:rsidRDefault="0085716E" w:rsidP="00414910">
      <w:pPr>
        <w:jc w:val="right"/>
        <w:outlineLvl w:val="0"/>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RTC North West logo" style="width:252pt;height:75.75pt;visibility:visible">
            <v:imagedata r:id="rId7" o:title=""/>
          </v:shape>
        </w:pict>
      </w:r>
    </w:p>
    <w:p w:rsidR="0085716E" w:rsidRDefault="0085716E" w:rsidP="00B01DAD">
      <w:pPr>
        <w:outlineLvl w:val="0"/>
        <w:rPr>
          <w:b/>
        </w:rPr>
      </w:pPr>
    </w:p>
    <w:p w:rsidR="0085716E" w:rsidRDefault="0085716E" w:rsidP="00B01DAD">
      <w:pPr>
        <w:outlineLvl w:val="0"/>
        <w:rPr>
          <w:b/>
        </w:rPr>
      </w:pPr>
    </w:p>
    <w:p w:rsidR="0085716E" w:rsidRDefault="0085716E" w:rsidP="00B01DAD">
      <w:pPr>
        <w:outlineLvl w:val="0"/>
        <w:rPr>
          <w:b/>
        </w:rPr>
      </w:pPr>
    </w:p>
    <w:p w:rsidR="0085716E" w:rsidRDefault="0085716E" w:rsidP="00B01DAD">
      <w:pPr>
        <w:outlineLvl w:val="0"/>
        <w:rPr>
          <w:b/>
        </w:rPr>
      </w:pPr>
    </w:p>
    <w:p w:rsidR="0085716E" w:rsidRPr="00414910" w:rsidRDefault="0085716E" w:rsidP="00B01DAD">
      <w:pPr>
        <w:outlineLvl w:val="0"/>
        <w:rPr>
          <w:b/>
          <w:sz w:val="28"/>
          <w:szCs w:val="28"/>
        </w:rPr>
      </w:pPr>
      <w:r w:rsidRPr="00414910">
        <w:rPr>
          <w:b/>
          <w:sz w:val="28"/>
          <w:szCs w:val="28"/>
        </w:rPr>
        <w:t xml:space="preserve">Toolkit for the Management of </w:t>
      </w:r>
      <w:r>
        <w:rPr>
          <w:b/>
          <w:sz w:val="28"/>
          <w:szCs w:val="28"/>
        </w:rPr>
        <w:t>Major</w:t>
      </w:r>
      <w:r w:rsidRPr="00414910">
        <w:rPr>
          <w:b/>
          <w:sz w:val="28"/>
          <w:szCs w:val="28"/>
        </w:rPr>
        <w:t xml:space="preserve"> Haemorrhage</w:t>
      </w:r>
    </w:p>
    <w:p w:rsidR="0085716E" w:rsidRDefault="0085716E" w:rsidP="00B01DAD"/>
    <w:p w:rsidR="0085716E" w:rsidRPr="00861258" w:rsidRDefault="0085716E" w:rsidP="00B01DAD">
      <w:pPr>
        <w:rPr>
          <w:b/>
        </w:rPr>
      </w:pPr>
      <w:r w:rsidRPr="00861258">
        <w:rPr>
          <w:b/>
        </w:rPr>
        <w:t>Contents:</w:t>
      </w:r>
    </w:p>
    <w:p w:rsidR="0085716E" w:rsidRDefault="0085716E" w:rsidP="0085143B">
      <w:pPr>
        <w:numPr>
          <w:ilvl w:val="0"/>
          <w:numId w:val="4"/>
        </w:numPr>
        <w:tabs>
          <w:tab w:val="clear" w:pos="360"/>
          <w:tab w:val="num" w:pos="540"/>
        </w:tabs>
        <w:ind w:left="540" w:hanging="540"/>
      </w:pPr>
      <w:r>
        <w:t>Introduction</w:t>
      </w:r>
    </w:p>
    <w:p w:rsidR="0085716E" w:rsidRDefault="0085716E" w:rsidP="0085143B">
      <w:pPr>
        <w:numPr>
          <w:ilvl w:val="0"/>
          <w:numId w:val="4"/>
        </w:numPr>
        <w:tabs>
          <w:tab w:val="clear" w:pos="360"/>
          <w:tab w:val="num" w:pos="540"/>
        </w:tabs>
        <w:ind w:left="540" w:hanging="540"/>
      </w:pPr>
      <w:r>
        <w:t>Changes in Version 3</w:t>
      </w:r>
    </w:p>
    <w:p w:rsidR="0085716E" w:rsidRDefault="0085716E" w:rsidP="0085143B">
      <w:pPr>
        <w:numPr>
          <w:ilvl w:val="0"/>
          <w:numId w:val="4"/>
        </w:numPr>
        <w:tabs>
          <w:tab w:val="clear" w:pos="360"/>
          <w:tab w:val="num" w:pos="540"/>
        </w:tabs>
        <w:ind w:left="540" w:hanging="540"/>
      </w:pPr>
      <w:r>
        <w:t>New Recommendations</w:t>
      </w:r>
    </w:p>
    <w:p w:rsidR="0085716E" w:rsidRDefault="0085716E" w:rsidP="0085143B">
      <w:pPr>
        <w:numPr>
          <w:ilvl w:val="0"/>
          <w:numId w:val="4"/>
        </w:numPr>
        <w:tabs>
          <w:tab w:val="clear" w:pos="360"/>
          <w:tab w:val="num" w:pos="540"/>
        </w:tabs>
        <w:ind w:left="540" w:hanging="540"/>
      </w:pPr>
      <w:r>
        <w:t>The algorithm for the transfusion management of major haemorrhage in adults</w:t>
      </w:r>
    </w:p>
    <w:p w:rsidR="0085716E" w:rsidRDefault="0085716E" w:rsidP="0085143B">
      <w:pPr>
        <w:numPr>
          <w:ilvl w:val="0"/>
          <w:numId w:val="4"/>
        </w:numPr>
        <w:tabs>
          <w:tab w:val="clear" w:pos="360"/>
          <w:tab w:val="num" w:pos="540"/>
        </w:tabs>
        <w:ind w:left="540" w:hanging="540"/>
      </w:pPr>
      <w:r>
        <w:t>The algorithm for the transfusion management of major haemorrhage in children</w:t>
      </w:r>
    </w:p>
    <w:p w:rsidR="0085716E" w:rsidRDefault="0085716E" w:rsidP="0085143B">
      <w:pPr>
        <w:numPr>
          <w:ilvl w:val="0"/>
          <w:numId w:val="4"/>
        </w:numPr>
        <w:tabs>
          <w:tab w:val="clear" w:pos="360"/>
          <w:tab w:val="num" w:pos="540"/>
        </w:tabs>
        <w:ind w:left="540" w:hanging="540"/>
      </w:pPr>
      <w:r>
        <w:t>The laboratory algorithm</w:t>
      </w:r>
    </w:p>
    <w:p w:rsidR="0085716E" w:rsidRPr="0085143B" w:rsidRDefault="0085716E" w:rsidP="0085143B">
      <w:pPr>
        <w:numPr>
          <w:ilvl w:val="0"/>
          <w:numId w:val="4"/>
        </w:numPr>
        <w:tabs>
          <w:tab w:val="clear" w:pos="360"/>
          <w:tab w:val="num" w:pos="540"/>
        </w:tabs>
        <w:ind w:left="540" w:hanging="540"/>
      </w:pPr>
      <w:r w:rsidRPr="0085143B">
        <w:t>Management Of Bleeding In Patients Taking a Newer Oral Anticoagulant (NOAC)</w:t>
      </w:r>
    </w:p>
    <w:p w:rsidR="0085716E" w:rsidRDefault="0085716E" w:rsidP="0085143B">
      <w:pPr>
        <w:numPr>
          <w:ilvl w:val="0"/>
          <w:numId w:val="4"/>
        </w:numPr>
        <w:tabs>
          <w:tab w:val="clear" w:pos="360"/>
          <w:tab w:val="num" w:pos="540"/>
        </w:tabs>
        <w:ind w:left="540" w:hanging="540"/>
      </w:pPr>
      <w:r>
        <w:t>Seven Steps for Successful Coordination of major haemorrhage</w:t>
      </w:r>
    </w:p>
    <w:p w:rsidR="0085716E" w:rsidRDefault="0085716E" w:rsidP="0085143B">
      <w:pPr>
        <w:numPr>
          <w:ilvl w:val="0"/>
          <w:numId w:val="4"/>
        </w:numPr>
        <w:tabs>
          <w:tab w:val="clear" w:pos="360"/>
          <w:tab w:val="num" w:pos="540"/>
        </w:tabs>
        <w:ind w:left="540" w:hanging="540"/>
      </w:pPr>
      <w:r>
        <w:t>Aims of the toolkit</w:t>
      </w:r>
    </w:p>
    <w:p w:rsidR="0085716E" w:rsidRDefault="0085716E" w:rsidP="0085143B">
      <w:pPr>
        <w:numPr>
          <w:ilvl w:val="0"/>
          <w:numId w:val="4"/>
        </w:numPr>
        <w:tabs>
          <w:tab w:val="clear" w:pos="360"/>
          <w:tab w:val="num" w:pos="540"/>
        </w:tabs>
        <w:ind w:left="540" w:hanging="540"/>
      </w:pPr>
      <w:r>
        <w:t>Who is the toolkit for?</w:t>
      </w:r>
    </w:p>
    <w:p w:rsidR="0085716E" w:rsidRDefault="0085716E" w:rsidP="0085143B">
      <w:pPr>
        <w:numPr>
          <w:ilvl w:val="0"/>
          <w:numId w:val="4"/>
        </w:numPr>
        <w:tabs>
          <w:tab w:val="clear" w:pos="360"/>
          <w:tab w:val="num" w:pos="540"/>
        </w:tabs>
        <w:ind w:left="540" w:hanging="540"/>
      </w:pPr>
      <w:r>
        <w:t>Monitoring the management of major haemorrhage</w:t>
      </w:r>
    </w:p>
    <w:p w:rsidR="0085716E" w:rsidRDefault="0085716E" w:rsidP="0085143B">
      <w:pPr>
        <w:numPr>
          <w:ilvl w:val="0"/>
          <w:numId w:val="4"/>
        </w:numPr>
        <w:tabs>
          <w:tab w:val="clear" w:pos="360"/>
          <w:tab w:val="num" w:pos="540"/>
        </w:tabs>
        <w:ind w:left="540" w:hanging="540"/>
      </w:pPr>
      <w:r>
        <w:t>Audit proforma</w:t>
      </w:r>
    </w:p>
    <w:p w:rsidR="0085716E" w:rsidRDefault="0085716E" w:rsidP="0085143B">
      <w:pPr>
        <w:numPr>
          <w:ilvl w:val="0"/>
          <w:numId w:val="4"/>
        </w:numPr>
        <w:tabs>
          <w:tab w:val="clear" w:pos="360"/>
          <w:tab w:val="num" w:pos="540"/>
        </w:tabs>
        <w:ind w:left="540" w:hanging="540"/>
      </w:pPr>
      <w:r>
        <w:t>References</w:t>
      </w:r>
    </w:p>
    <w:p w:rsidR="0085716E" w:rsidRDefault="0085716E" w:rsidP="0085143B">
      <w:pPr>
        <w:numPr>
          <w:ilvl w:val="0"/>
          <w:numId w:val="4"/>
        </w:numPr>
        <w:tabs>
          <w:tab w:val="clear" w:pos="360"/>
          <w:tab w:val="num" w:pos="540"/>
        </w:tabs>
        <w:ind w:left="540" w:hanging="540"/>
      </w:pPr>
      <w:r>
        <w:t>Appendices:</w:t>
      </w:r>
    </w:p>
    <w:p w:rsidR="0085716E" w:rsidRDefault="0085716E" w:rsidP="0042631B">
      <w:pPr>
        <w:numPr>
          <w:ilvl w:val="0"/>
          <w:numId w:val="5"/>
        </w:numPr>
      </w:pPr>
      <w:r>
        <w:t>Speciality specific information</w:t>
      </w:r>
    </w:p>
    <w:p w:rsidR="0085716E" w:rsidRDefault="0085716E" w:rsidP="0085143B">
      <w:pPr>
        <w:numPr>
          <w:ilvl w:val="0"/>
          <w:numId w:val="5"/>
        </w:numPr>
        <w:tabs>
          <w:tab w:val="num" w:pos="360"/>
        </w:tabs>
      </w:pPr>
      <w:r>
        <w:t>Key stakeholders involved in developing the toolkit</w:t>
      </w:r>
    </w:p>
    <w:p w:rsidR="0085716E" w:rsidRDefault="0085716E" w:rsidP="0085143B">
      <w:pPr>
        <w:numPr>
          <w:ilvl w:val="0"/>
          <w:numId w:val="5"/>
        </w:numPr>
        <w:tabs>
          <w:tab w:val="num" w:pos="360"/>
        </w:tabs>
      </w:pPr>
      <w:r>
        <w:t>NW Regional policy for transfer of blood</w:t>
      </w:r>
    </w:p>
    <w:p w:rsidR="0085716E" w:rsidRDefault="0085716E" w:rsidP="00B01DAD"/>
    <w:p w:rsidR="0085716E" w:rsidRDefault="0085716E" w:rsidP="00B01DAD"/>
    <w:p w:rsidR="0085716E" w:rsidRDefault="0085716E" w:rsidP="00B01DAD"/>
    <w:p w:rsidR="0085716E" w:rsidRDefault="0085716E" w:rsidP="00B01DAD">
      <w:r>
        <w:t>Authors:</w:t>
      </w:r>
    </w:p>
    <w:p w:rsidR="0085716E" w:rsidRDefault="0085716E" w:rsidP="00B01DAD">
      <w:r>
        <w:t>Steering group of NW RTC Major Haemorrhage Guidelines Group</w:t>
      </w:r>
    </w:p>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r>
        <w:t xml:space="preserve">December 2013 </w:t>
      </w:r>
    </w:p>
    <w:p w:rsidR="0085716E" w:rsidRPr="00414910" w:rsidRDefault="0085716E" w:rsidP="001060FD">
      <w:pPr>
        <w:rPr>
          <w:b/>
          <w:sz w:val="28"/>
          <w:szCs w:val="28"/>
        </w:rPr>
      </w:pPr>
      <w:r>
        <w:br w:type="page"/>
      </w:r>
      <w:r w:rsidRPr="001060FD">
        <w:rPr>
          <w:b/>
          <w:sz w:val="28"/>
          <w:szCs w:val="28"/>
        </w:rPr>
        <w:t>1.</w:t>
      </w:r>
      <w:r>
        <w:t xml:space="preserve"> </w:t>
      </w:r>
      <w:r w:rsidRPr="00414910">
        <w:rPr>
          <w:b/>
          <w:sz w:val="28"/>
          <w:szCs w:val="28"/>
        </w:rPr>
        <w:t>Introduction</w:t>
      </w:r>
    </w:p>
    <w:p w:rsidR="0085716E" w:rsidRDefault="0085716E" w:rsidP="00B01DAD">
      <w:r>
        <w:t xml:space="preserve">Excessive blood loss can jeopardise the survival of patients in many clinical settings.  During the period October 2006 to September 2010, the National Patient Safety Agency (NPSA) was made aware of 11 deaths and 83 incidents where the patient came close to death as a result of delays in the provision of blood in an acute situation </w:t>
      </w:r>
      <w:r w:rsidRPr="00C0472E">
        <w:rPr>
          <w:vertAlign w:val="superscript"/>
        </w:rPr>
        <w:t>1</w:t>
      </w:r>
    </w:p>
    <w:p w:rsidR="0085716E" w:rsidRDefault="0085716E" w:rsidP="00B01DAD"/>
    <w:p w:rsidR="0085716E" w:rsidRDefault="0085716E" w:rsidP="00B01DAD">
      <w:r>
        <w:t xml:space="preserve">The early recognition of major blood loss and the institution of effective actions are vital if avoidance of hypovolaemic shock and its consequences are to be avoided.  One such action is the rapid provision of blood and blood components.  A key element is the effective communication between all staff who will be involved in the provision and transportation of blood.  The urgent provision of blood for life threatening haemorrhage requires a rapid focussed approach.  </w:t>
      </w:r>
    </w:p>
    <w:p w:rsidR="0085716E" w:rsidRDefault="0085716E" w:rsidP="00B01DAD"/>
    <w:p w:rsidR="0085716E" w:rsidRDefault="0085716E" w:rsidP="00923DFC">
      <w:r>
        <w:t xml:space="preserve">In 2009, the North West Regional Transfusion Committee incorporating </w:t>
      </w:r>
      <w:smartTag w:uri="urn:schemas-microsoft-com:office:smarttags" w:element="place">
        <w:r>
          <w:t>North Wales</w:t>
        </w:r>
      </w:smartTag>
      <w:r>
        <w:t xml:space="preserve"> (NW RTC) commissioned a group of key stakeholders to develop a toolkit for the management of major haemorrhage (see Appendix 2). The first version was published in January 2011. .  In October 2011, the steering group met to review new evidence and feedback from version 1.  Version 2 was produced in April 2012.  A further review was undertaken by the guidelines group in May 2013 and Version 3 has been in June 2013.  A further review has been planned for January 2015, or sooner, should new evidence become available </w:t>
      </w:r>
    </w:p>
    <w:p w:rsidR="0085716E" w:rsidRDefault="0085716E" w:rsidP="00923DFC"/>
    <w:p w:rsidR="0085716E" w:rsidRDefault="0085716E" w:rsidP="00923DFC">
      <w:r>
        <w:t xml:space="preserve">Sections 3 to 6 are algorithms that can be adapted for local use.  They are also available in PowerPoint and word format for easy editing.  The documents can be found on the NW RTC section of the transfusionguidelines.org website, under management of major haemorrhage. </w:t>
      </w:r>
    </w:p>
    <w:p w:rsidR="0085716E" w:rsidRDefault="0085716E" w:rsidP="00923DFC"/>
    <w:p w:rsidR="0085716E" w:rsidRDefault="0085716E" w:rsidP="00923DFC">
      <w:r>
        <w:t>The audit proforma has been revised following a second round of regional audit in 2012.</w:t>
      </w:r>
    </w:p>
    <w:p w:rsidR="0085716E" w:rsidRDefault="0085716E" w:rsidP="00923DFC"/>
    <w:p w:rsidR="0085716E" w:rsidRDefault="0085716E" w:rsidP="00923DFC">
      <w:r>
        <w:t>K Pendry</w:t>
      </w:r>
    </w:p>
    <w:p w:rsidR="0085716E" w:rsidRDefault="0085716E" w:rsidP="00923DFC">
      <w:r>
        <w:t>Consultant Haematologist NHSBT on behalf of the NW RTC</w:t>
      </w:r>
    </w:p>
    <w:p w:rsidR="0085716E" w:rsidRDefault="0085716E" w:rsidP="00923DFC">
      <w:r>
        <w:t>December 2013</w:t>
      </w:r>
    </w:p>
    <w:p w:rsidR="0085716E" w:rsidRDefault="0085716E" w:rsidP="00430842"/>
    <w:p w:rsidR="0085716E" w:rsidRDefault="0085716E" w:rsidP="00430842"/>
    <w:p w:rsidR="0085716E" w:rsidRDefault="0085716E" w:rsidP="00430842"/>
    <w:p w:rsidR="0085716E" w:rsidRPr="00430842" w:rsidRDefault="0085716E" w:rsidP="00430842">
      <w:pPr>
        <w:rPr>
          <w:b/>
          <w:i/>
          <w:sz w:val="20"/>
          <w:szCs w:val="20"/>
        </w:rPr>
      </w:pPr>
      <w:r w:rsidRPr="00430842">
        <w:rPr>
          <w:b/>
          <w:i/>
          <w:sz w:val="20"/>
          <w:szCs w:val="20"/>
        </w:rPr>
        <w:t>Abbreviations:</w:t>
      </w:r>
    </w:p>
    <w:p w:rsidR="0085716E" w:rsidRPr="00430842" w:rsidRDefault="0085716E" w:rsidP="00430842">
      <w:pPr>
        <w:rPr>
          <w:sz w:val="20"/>
          <w:szCs w:val="20"/>
        </w:rPr>
      </w:pPr>
      <w:r w:rsidRPr="00430842">
        <w:rPr>
          <w:sz w:val="20"/>
          <w:szCs w:val="20"/>
        </w:rPr>
        <w:tab/>
        <w:t xml:space="preserve">HTC </w:t>
      </w:r>
      <w:r w:rsidRPr="00430842">
        <w:rPr>
          <w:sz w:val="20"/>
          <w:szCs w:val="20"/>
        </w:rPr>
        <w:tab/>
      </w:r>
      <w:r w:rsidRPr="00430842">
        <w:rPr>
          <w:sz w:val="20"/>
          <w:szCs w:val="20"/>
        </w:rPr>
        <w:tab/>
        <w:t>Hospital Transfusion Committee</w:t>
      </w:r>
    </w:p>
    <w:p w:rsidR="0085716E" w:rsidRPr="00430842" w:rsidRDefault="0085716E" w:rsidP="00430842">
      <w:pPr>
        <w:rPr>
          <w:sz w:val="20"/>
          <w:szCs w:val="20"/>
        </w:rPr>
      </w:pPr>
      <w:r w:rsidRPr="00430842">
        <w:rPr>
          <w:sz w:val="20"/>
          <w:szCs w:val="20"/>
        </w:rPr>
        <w:tab/>
        <w:t>NPSA</w:t>
      </w:r>
      <w:r w:rsidRPr="00430842">
        <w:rPr>
          <w:sz w:val="20"/>
          <w:szCs w:val="20"/>
        </w:rPr>
        <w:tab/>
      </w:r>
      <w:r w:rsidRPr="00430842">
        <w:rPr>
          <w:sz w:val="20"/>
          <w:szCs w:val="20"/>
        </w:rPr>
        <w:tab/>
        <w:t>National Patient Safety Agency</w:t>
      </w:r>
    </w:p>
    <w:p w:rsidR="0085716E" w:rsidRPr="00430842" w:rsidRDefault="0085716E" w:rsidP="00430842">
      <w:pPr>
        <w:rPr>
          <w:sz w:val="20"/>
          <w:szCs w:val="20"/>
        </w:rPr>
      </w:pPr>
      <w:r w:rsidRPr="00430842">
        <w:rPr>
          <w:sz w:val="20"/>
          <w:szCs w:val="20"/>
        </w:rPr>
        <w:tab/>
        <w:t>NWRTC</w:t>
      </w:r>
      <w:r w:rsidRPr="00430842">
        <w:rPr>
          <w:sz w:val="20"/>
          <w:szCs w:val="20"/>
        </w:rPr>
        <w:tab/>
        <w:t xml:space="preserve">North West Transfusion Committee incorporating </w:t>
      </w:r>
      <w:smartTag w:uri="urn:schemas-microsoft-com:office:smarttags" w:element="place">
        <w:r>
          <w:rPr>
            <w:sz w:val="20"/>
            <w:szCs w:val="20"/>
          </w:rPr>
          <w:t xml:space="preserve">North </w:t>
        </w:r>
        <w:r w:rsidRPr="00430842">
          <w:rPr>
            <w:sz w:val="20"/>
            <w:szCs w:val="20"/>
          </w:rPr>
          <w:t>Wales</w:t>
        </w:r>
      </w:smartTag>
    </w:p>
    <w:p w:rsidR="0085716E" w:rsidRPr="00430842" w:rsidRDefault="0085716E" w:rsidP="00430842">
      <w:pPr>
        <w:rPr>
          <w:sz w:val="20"/>
          <w:szCs w:val="20"/>
        </w:rPr>
      </w:pPr>
      <w:r w:rsidRPr="00430842">
        <w:rPr>
          <w:sz w:val="20"/>
          <w:szCs w:val="20"/>
        </w:rPr>
        <w:tab/>
        <w:t>SABRE</w:t>
      </w:r>
      <w:r w:rsidRPr="00430842">
        <w:rPr>
          <w:sz w:val="20"/>
          <w:szCs w:val="20"/>
        </w:rPr>
        <w:tab/>
      </w:r>
      <w:r>
        <w:rPr>
          <w:sz w:val="20"/>
          <w:szCs w:val="20"/>
        </w:rPr>
        <w:tab/>
      </w:r>
      <w:r w:rsidRPr="00430842">
        <w:rPr>
          <w:sz w:val="20"/>
          <w:szCs w:val="20"/>
        </w:rPr>
        <w:t>Serious Adverse Blood Reactions and Events reporting scheme</w:t>
      </w:r>
    </w:p>
    <w:p w:rsidR="0085716E" w:rsidRPr="00430842" w:rsidRDefault="0085716E" w:rsidP="00430842">
      <w:pPr>
        <w:rPr>
          <w:sz w:val="20"/>
          <w:szCs w:val="20"/>
        </w:rPr>
      </w:pPr>
      <w:r w:rsidRPr="00430842">
        <w:rPr>
          <w:sz w:val="20"/>
          <w:szCs w:val="20"/>
        </w:rPr>
        <w:tab/>
      </w:r>
      <w:smartTag w:uri="urn:schemas-microsoft-com:office:smarttags" w:element="PersonName">
        <w:r w:rsidRPr="00430842">
          <w:rPr>
            <w:sz w:val="20"/>
            <w:szCs w:val="20"/>
          </w:rPr>
          <w:t>SHOT</w:t>
        </w:r>
      </w:smartTag>
      <w:r w:rsidRPr="00430842">
        <w:rPr>
          <w:sz w:val="20"/>
          <w:szCs w:val="20"/>
        </w:rPr>
        <w:tab/>
      </w:r>
      <w:r w:rsidRPr="00430842">
        <w:rPr>
          <w:sz w:val="20"/>
          <w:szCs w:val="20"/>
        </w:rPr>
        <w:tab/>
        <w:t>Serious Hazards of Transfusion Haemovigilance scheme</w:t>
      </w:r>
    </w:p>
    <w:p w:rsidR="0085716E" w:rsidRDefault="0085716E" w:rsidP="00430842">
      <w:pPr>
        <w:rPr>
          <w:b/>
        </w:rPr>
      </w:pPr>
    </w:p>
    <w:p w:rsidR="0085716E" w:rsidRDefault="0085716E" w:rsidP="00430842">
      <w:pPr>
        <w:rPr>
          <w:b/>
        </w:rPr>
      </w:pPr>
    </w:p>
    <w:p w:rsidR="0085716E" w:rsidRPr="00221408" w:rsidRDefault="0085716E" w:rsidP="00430842">
      <w:pPr>
        <w:rPr>
          <w:b/>
          <w:sz w:val="28"/>
          <w:szCs w:val="28"/>
        </w:rPr>
      </w:pPr>
      <w:r w:rsidRPr="00221408">
        <w:rPr>
          <w:b/>
          <w:sz w:val="28"/>
          <w:szCs w:val="28"/>
        </w:rPr>
        <w:t xml:space="preserve">2. Changes in </w:t>
      </w:r>
      <w:r>
        <w:rPr>
          <w:b/>
          <w:sz w:val="28"/>
          <w:szCs w:val="28"/>
        </w:rPr>
        <w:t>V</w:t>
      </w:r>
      <w:r w:rsidRPr="00221408">
        <w:rPr>
          <w:b/>
          <w:sz w:val="28"/>
          <w:szCs w:val="28"/>
        </w:rPr>
        <w:t xml:space="preserve">ersion </w:t>
      </w:r>
      <w:r>
        <w:rPr>
          <w:b/>
          <w:sz w:val="28"/>
          <w:szCs w:val="28"/>
        </w:rPr>
        <w:t>3</w:t>
      </w:r>
      <w:r w:rsidRPr="00221408">
        <w:rPr>
          <w:b/>
          <w:sz w:val="28"/>
          <w:szCs w:val="28"/>
        </w:rPr>
        <w:t>:</w:t>
      </w:r>
    </w:p>
    <w:p w:rsidR="0085716E" w:rsidRDefault="0085716E" w:rsidP="0085143B">
      <w:pPr>
        <w:numPr>
          <w:ilvl w:val="0"/>
          <w:numId w:val="32"/>
        </w:numPr>
      </w:pPr>
      <w:r>
        <w:t>Haemoglobin unit of measurement has been changed to g/L from g/dl</w:t>
      </w:r>
    </w:p>
    <w:p w:rsidR="0085716E" w:rsidRDefault="0085716E" w:rsidP="0085143B">
      <w:pPr>
        <w:numPr>
          <w:ilvl w:val="0"/>
          <w:numId w:val="32"/>
        </w:numPr>
      </w:pPr>
      <w:r>
        <w:t>A new flowchart has been developed for management of patients who are bleeding whilst taking a novel anticoagulant (Dabigatran, Rivaroxaban and Apixaban) (section 8) – an editable version will be available on the RTC website</w:t>
      </w:r>
    </w:p>
    <w:p w:rsidR="0085716E" w:rsidRDefault="0085716E" w:rsidP="0085143B">
      <w:pPr>
        <w:numPr>
          <w:ilvl w:val="0"/>
          <w:numId w:val="32"/>
        </w:numPr>
      </w:pPr>
      <w:r>
        <w:t>A recommendation on training has been inserted under New Recommendations (section 3)</w:t>
      </w:r>
    </w:p>
    <w:p w:rsidR="0085716E" w:rsidRDefault="0085716E" w:rsidP="0085143B">
      <w:pPr>
        <w:numPr>
          <w:ilvl w:val="0"/>
          <w:numId w:val="32"/>
        </w:numPr>
      </w:pPr>
      <w:r>
        <w:t>Suggested key performance indicators are listed in section 12</w:t>
      </w:r>
    </w:p>
    <w:p w:rsidR="0085716E" w:rsidRDefault="0085716E" w:rsidP="0085143B">
      <w:pPr>
        <w:numPr>
          <w:ilvl w:val="0"/>
          <w:numId w:val="32"/>
        </w:numPr>
      </w:pPr>
      <w:r>
        <w:t>The audit proforma has been updated (section 13)</w:t>
      </w:r>
    </w:p>
    <w:p w:rsidR="0085716E" w:rsidRPr="0085143B" w:rsidRDefault="0085716E" w:rsidP="0085143B">
      <w:pPr>
        <w:numPr>
          <w:ilvl w:val="0"/>
          <w:numId w:val="32"/>
        </w:numPr>
      </w:pPr>
      <w:r>
        <w:t xml:space="preserve">The specialty specific sections have been reviewed and updated  </w:t>
      </w:r>
    </w:p>
    <w:p w:rsidR="0085716E" w:rsidRDefault="0085716E" w:rsidP="00221408"/>
    <w:p w:rsidR="0085716E" w:rsidRDefault="0085716E" w:rsidP="00221408"/>
    <w:p w:rsidR="0085716E" w:rsidRDefault="0085716E" w:rsidP="004E2AD8"/>
    <w:p w:rsidR="0085716E" w:rsidRDefault="0085716E" w:rsidP="004E2AD8">
      <w:pPr>
        <w:numPr>
          <w:ilvl w:val="0"/>
          <w:numId w:val="28"/>
        </w:numPr>
        <w:rPr>
          <w:b/>
          <w:sz w:val="28"/>
          <w:szCs w:val="28"/>
        </w:rPr>
      </w:pPr>
      <w:r w:rsidRPr="004E2AD8">
        <w:rPr>
          <w:b/>
          <w:sz w:val="28"/>
          <w:szCs w:val="28"/>
        </w:rPr>
        <w:t>New recommen</w:t>
      </w:r>
      <w:r>
        <w:rPr>
          <w:b/>
          <w:sz w:val="28"/>
          <w:szCs w:val="28"/>
        </w:rPr>
        <w:t>d</w:t>
      </w:r>
      <w:r w:rsidRPr="004E2AD8">
        <w:rPr>
          <w:b/>
          <w:sz w:val="28"/>
          <w:szCs w:val="28"/>
        </w:rPr>
        <w:t>ations</w:t>
      </w:r>
    </w:p>
    <w:p w:rsidR="0085716E" w:rsidRDefault="0085716E" w:rsidP="004E2AD8">
      <w:pPr>
        <w:rPr>
          <w:b/>
          <w:sz w:val="28"/>
          <w:szCs w:val="28"/>
        </w:rPr>
      </w:pPr>
    </w:p>
    <w:p w:rsidR="0085716E" w:rsidRPr="0085143B" w:rsidRDefault="0085716E" w:rsidP="00726CEE">
      <w:pPr>
        <w:rPr>
          <w:b/>
        </w:rPr>
      </w:pPr>
      <w:r w:rsidRPr="0085143B">
        <w:rPr>
          <w:b/>
          <w:iCs/>
        </w:rPr>
        <w:t>Training</w:t>
      </w:r>
    </w:p>
    <w:p w:rsidR="0085716E" w:rsidRPr="00726CEE" w:rsidRDefault="0085716E" w:rsidP="00726CEE">
      <w:r w:rsidRPr="0085143B">
        <w:rPr>
          <w:iCs/>
        </w:rPr>
        <w:t xml:space="preserve">It is now increasingly recognised that successful outcome of critical clinical situations is dependent not only on technical skills but also on non-technical skills. There are sometimes termed </w:t>
      </w:r>
      <w:r>
        <w:rPr>
          <w:iCs/>
        </w:rPr>
        <w:t>“team resource management” or “H</w:t>
      </w:r>
      <w:r w:rsidRPr="0085143B">
        <w:rPr>
          <w:iCs/>
        </w:rPr>
        <w:t>uman Factors” skills, and include (but are not confined to) leadership, followership, situational awareness, task management, anticipation and planning. Successful treatment of a major haemorrhage requires teams to be proficient in both technical and non-technical skills. The Steering group recommends that teams should train and practice for management of major haemorrhage on a regular basis in order to develop these important non-technical skills in team management and to become familiar with the algorithm and guidelines. There are local facilities available which can provide this training such as high-fidelity patient simulator laboratories</w:t>
      </w:r>
    </w:p>
    <w:p w:rsidR="0085716E" w:rsidRDefault="0085716E" w:rsidP="004E2AD8"/>
    <w:p w:rsidR="0085716E" w:rsidRPr="00C41954" w:rsidRDefault="0085716E" w:rsidP="004E2AD8"/>
    <w:p w:rsidR="0085716E" w:rsidRPr="00221408" w:rsidRDefault="0085716E" w:rsidP="00221408">
      <w:pPr>
        <w:rPr>
          <w:sz w:val="28"/>
          <w:szCs w:val="28"/>
        </w:rPr>
      </w:pPr>
    </w:p>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Pr>
        <w:rPr>
          <w:b/>
          <w:sz w:val="28"/>
          <w:szCs w:val="28"/>
        </w:rPr>
      </w:pPr>
      <w:r>
        <w:rPr>
          <w:b/>
          <w:sz w:val="28"/>
          <w:szCs w:val="28"/>
        </w:rPr>
        <w:br w:type="page"/>
      </w:r>
      <w:r w:rsidRPr="0085143B">
        <w:rPr>
          <w:b/>
          <w:sz w:val="28"/>
          <w:szCs w:val="28"/>
        </w:rPr>
        <w:t>4</w:t>
      </w:r>
      <w:r>
        <w:rPr>
          <w:b/>
          <w:sz w:val="28"/>
          <w:szCs w:val="28"/>
        </w:rPr>
        <w:t xml:space="preserve">. </w:t>
      </w:r>
    </w:p>
    <w:p w:rsidR="0085716E" w:rsidRPr="0085143B" w:rsidRDefault="0085716E" w:rsidP="00B01DAD">
      <w:pPr>
        <w:rPr>
          <w:b/>
          <w:sz w:val="28"/>
          <w:szCs w:val="28"/>
        </w:rPr>
      </w:pPr>
      <w:r>
        <w:rPr>
          <w:noProof/>
        </w:rPr>
        <w:pict>
          <v:shape id="Picture 16" o:spid="_x0000_s1026" type="#_x0000_t75" style="position:absolute;margin-left:0;margin-top:0;width:501.9pt;height:676.9pt;z-index:251656704;visibility:visible">
            <v:imagedata r:id="rId8" o:title=""/>
          </v:shape>
        </w:pict>
      </w:r>
    </w:p>
    <w:p w:rsidR="0085716E" w:rsidRDefault="0085716E" w:rsidP="00B01DAD"/>
    <w:p w:rsidR="0085716E" w:rsidRDefault="0085716E" w:rsidP="00B01DAD"/>
    <w:p w:rsidR="0085716E" w:rsidRDefault="0085716E" w:rsidP="00B01DAD"/>
    <w:p w:rsidR="0085716E" w:rsidRDefault="0085716E" w:rsidP="00B01DAD"/>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B01DAD">
      <w:pPr>
        <w:rPr>
          <w:b/>
          <w:sz w:val="28"/>
          <w:szCs w:val="28"/>
        </w:rPr>
      </w:pPr>
    </w:p>
    <w:p w:rsidR="0085716E" w:rsidRDefault="0085716E" w:rsidP="00275A71">
      <w:pPr>
        <w:rPr>
          <w:noProof/>
        </w:rPr>
      </w:pPr>
      <w:r>
        <w:rPr>
          <w:noProof/>
        </w:rPr>
        <w:pict>
          <v:shapetype id="_x0000_t202" coordsize="21600,21600" o:spt="202" path="m,l,21600r21600,l21600,xe">
            <v:stroke joinstyle="miter"/>
            <v:path gradientshapeok="t" o:connecttype="rect"/>
          </v:shapetype>
          <v:shape id="_x0000_s1027" type="#_x0000_t202" style="position:absolute;margin-left:9pt;margin-top:0;width:36pt;height:27pt;z-index:251658752" filled="f" stroked="f">
            <v:textbox>
              <w:txbxContent>
                <w:p w:rsidR="0085716E" w:rsidRPr="00753D24" w:rsidRDefault="0085716E">
                  <w:pPr>
                    <w:rPr>
                      <w:b/>
                      <w:sz w:val="28"/>
                      <w:szCs w:val="28"/>
                    </w:rPr>
                  </w:pPr>
                  <w:r>
                    <w:rPr>
                      <w:b/>
                      <w:sz w:val="28"/>
                      <w:szCs w:val="28"/>
                    </w:rPr>
                    <w:t>5</w:t>
                  </w:r>
                </w:p>
              </w:txbxContent>
            </v:textbox>
          </v:shape>
        </w:pict>
      </w:r>
      <w:r>
        <w:rPr>
          <w:noProof/>
        </w:rPr>
        <w:pict>
          <v:shape id="_x0000_s1028" type="#_x0000_t75" style="position:absolute;margin-left:0;margin-top:0;width:468.5pt;height:630pt;z-index:251657728;visibility:visible">
            <v:imagedata r:id="rId9" o:title=""/>
            <w10:wrap type="square"/>
          </v:shape>
        </w:pict>
      </w:r>
    </w:p>
    <w:p w:rsidR="0085716E" w:rsidRDefault="0085716E" w:rsidP="00275A71">
      <w:pPr>
        <w:rPr>
          <w:b/>
        </w:rPr>
      </w:pPr>
      <w:r>
        <w:rPr>
          <w:noProof/>
        </w:rPr>
        <w:br w:type="page"/>
      </w:r>
      <w:r>
        <w:rPr>
          <w:b/>
        </w:rPr>
        <w:t>Explanatory Notes for paediatrics:</w:t>
      </w:r>
    </w:p>
    <w:p w:rsidR="0085716E" w:rsidRDefault="0085716E" w:rsidP="00B01DAD">
      <w:pPr>
        <w:rPr>
          <w:b/>
        </w:rPr>
      </w:pPr>
      <w:r>
        <w:rPr>
          <w:noProof/>
        </w:rPr>
        <w:pict>
          <v:shape id="_x0000_s1029" type="#_x0000_t75" style="position:absolute;margin-left:9pt;margin-top:4.2pt;width:529.35pt;height:706.8pt;z-index:251653632">
            <v:imagedata r:id="rId10" o:title=""/>
            <w10:wrap type="square"/>
          </v:shape>
        </w:pict>
      </w:r>
      <w:r>
        <w:rPr>
          <w:b/>
          <w:noProof/>
        </w:rPr>
        <w:br w:type="page"/>
      </w:r>
    </w:p>
    <w:p w:rsidR="0085716E" w:rsidRPr="001060FD" w:rsidRDefault="0085716E" w:rsidP="00B01DAD">
      <w:pPr>
        <w:rPr>
          <w:b/>
          <w:sz w:val="28"/>
          <w:szCs w:val="28"/>
        </w:rPr>
      </w:pPr>
      <w:r>
        <w:rPr>
          <w:b/>
          <w:sz w:val="28"/>
          <w:szCs w:val="28"/>
        </w:rPr>
        <w:t>6</w:t>
      </w:r>
      <w:r w:rsidRPr="001060FD">
        <w:rPr>
          <w:b/>
          <w:sz w:val="28"/>
          <w:szCs w:val="28"/>
        </w:rPr>
        <w:t xml:space="preserve">. </w:t>
      </w:r>
    </w:p>
    <w:p w:rsidR="0085716E" w:rsidRDefault="0085716E" w:rsidP="00B01DAD">
      <w:pPr>
        <w:rPr>
          <w:b/>
        </w:rPr>
      </w:pPr>
      <w:r>
        <w:rPr>
          <w:noProof/>
        </w:rPr>
        <w:pict>
          <v:shape id="Picture 13" o:spid="_x0000_s1030" type="#_x0000_t75" style="position:absolute;margin-left:45pt;margin-top:6.1pt;width:467.35pt;height:675pt;z-index:251654656;visibility:visible">
            <v:imagedata r:id="rId11" o:title=""/>
            <w10:wrap type="square"/>
          </v:shape>
        </w:pict>
      </w:r>
    </w:p>
    <w:p w:rsidR="0085716E" w:rsidRPr="005E1C95" w:rsidRDefault="0085716E" w:rsidP="00B01DAD">
      <w:pPr>
        <w:rPr>
          <w:b/>
        </w:rPr>
      </w:pPr>
    </w:p>
    <w:p w:rsidR="0085716E" w:rsidRDefault="0085716E" w:rsidP="0085143B">
      <w:pPr>
        <w:rPr>
          <w:b/>
          <w:sz w:val="28"/>
          <w:szCs w:val="28"/>
        </w:rPr>
      </w:pPr>
      <w:r>
        <w:rPr>
          <w:b/>
        </w:rPr>
        <w:br w:type="page"/>
      </w:r>
      <w:r>
        <w:rPr>
          <w:b/>
          <w:sz w:val="28"/>
          <w:szCs w:val="28"/>
        </w:rPr>
        <w:t>7</w:t>
      </w:r>
      <w:r w:rsidRPr="000C18FE">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8156CB">
        <w:rPr>
          <w:b/>
          <w:sz w:val="28"/>
          <w:szCs w:val="28"/>
        </w:rPr>
        <w:t xml:space="preserve"> </w:t>
      </w:r>
      <w:r w:rsidRPr="00112CE2">
        <w:rPr>
          <w:b/>
          <w:noProof/>
          <w:sz w:val="28"/>
          <w:szCs w:val="28"/>
        </w:rPr>
        <w:pict>
          <v:shape id="Picture 9" o:spid="_x0000_i1026" type="#_x0000_t75" style="width:118.5pt;height:30.75pt;visibility:visible">
            <v:imagedata r:id="rId7" o:title=""/>
          </v:shape>
        </w:pict>
      </w:r>
    </w:p>
    <w:p w:rsidR="0085716E" w:rsidRDefault="0085716E" w:rsidP="0085143B">
      <w:pPr>
        <w:rPr>
          <w:b/>
          <w:sz w:val="28"/>
          <w:szCs w:val="28"/>
        </w:rPr>
      </w:pPr>
      <w:r w:rsidRPr="00AE2E46">
        <w:rPr>
          <w:b/>
          <w:sz w:val="28"/>
          <w:szCs w:val="28"/>
        </w:rPr>
        <w:t>Management Of Bleeding In Patients Taking a Newer Oral Anticoagulant (NOAC)</w:t>
      </w:r>
    </w:p>
    <w:p w:rsidR="0085716E" w:rsidRPr="00AE2E46" w:rsidRDefault="0085716E" w:rsidP="008156CB">
      <w:pPr>
        <w:rPr>
          <w:b/>
          <w:sz w:val="28"/>
          <w:szCs w:val="28"/>
        </w:rPr>
      </w:pPr>
    </w:p>
    <w:p w:rsidR="0085716E" w:rsidRPr="00AE2E46" w:rsidRDefault="0085716E" w:rsidP="008156CB"/>
    <w:p w:rsidR="0085716E" w:rsidRPr="00AE2E46" w:rsidRDefault="0085716E" w:rsidP="008156CB">
      <w:r w:rsidRPr="00AE2E46">
        <w:t>The NOACs currently licensed for stroke prevention in atrial fibrillation (SPAF) are dabigatran and rivaroxaban.</w:t>
      </w:r>
    </w:p>
    <w:p w:rsidR="0085716E" w:rsidRPr="00AE2E46" w:rsidRDefault="0085716E" w:rsidP="008156CB"/>
    <w:p w:rsidR="0085716E" w:rsidRPr="00AE2E46" w:rsidRDefault="0085716E" w:rsidP="008156CB">
      <w:r w:rsidRPr="00AE2E46">
        <w:t>Dabigatran is a direct thrombin inhibitor</w:t>
      </w:r>
    </w:p>
    <w:p w:rsidR="0085716E" w:rsidRPr="00AE2E46" w:rsidRDefault="0085716E" w:rsidP="008156CB"/>
    <w:p w:rsidR="0085716E" w:rsidRPr="00AE2E46" w:rsidRDefault="0085716E" w:rsidP="008156CB">
      <w:r w:rsidRPr="00AE2E46">
        <w:t xml:space="preserve">Rivaroxaban </w:t>
      </w:r>
      <w:r>
        <w:t>and apixaban are</w:t>
      </w:r>
      <w:r w:rsidRPr="00AE2E46">
        <w:t xml:space="preserve"> factor Xa inhibitor</w:t>
      </w:r>
      <w:r>
        <w:t>s</w:t>
      </w:r>
    </w:p>
    <w:p w:rsidR="0085716E" w:rsidRPr="00AE2E46" w:rsidRDefault="0085716E" w:rsidP="008156CB"/>
    <w:p w:rsidR="0085716E" w:rsidRPr="00AE2E46" w:rsidRDefault="0085716E" w:rsidP="008156CB">
      <w:r w:rsidRPr="00AE2E46">
        <w:rPr>
          <w:b/>
        </w:rPr>
        <w:t xml:space="preserve">There is no specific antidote available for </w:t>
      </w:r>
      <w:r>
        <w:rPr>
          <w:b/>
        </w:rPr>
        <w:t>any of these</w:t>
      </w:r>
      <w:r w:rsidRPr="00AE2E46">
        <w:rPr>
          <w:b/>
        </w:rPr>
        <w:t xml:space="preserve"> agent</w:t>
      </w:r>
      <w:r>
        <w:rPr>
          <w:b/>
        </w:rPr>
        <w:t>s</w:t>
      </w:r>
      <w:r w:rsidRPr="00AE2E46">
        <w:t xml:space="preserve">. Management of bleeding should be through cessation of the drug and general haemostatic measures (see subsequent flow chart). For major and life threatening bleeding, </w:t>
      </w:r>
      <w:r>
        <w:t>follow</w:t>
      </w:r>
      <w:r w:rsidRPr="00AE2E46">
        <w:t xml:space="preserve"> the Trust Major </w:t>
      </w:r>
      <w:r w:rsidRPr="003E2AF9">
        <w:t>Haemorrhage pathway</w:t>
      </w:r>
    </w:p>
    <w:p w:rsidR="0085716E" w:rsidRPr="00AE2E46" w:rsidRDefault="0085716E" w:rsidP="008156CB"/>
    <w:p w:rsidR="0085716E" w:rsidRPr="00AE2E46" w:rsidRDefault="0085716E" w:rsidP="008156CB">
      <w:r>
        <w:t xml:space="preserve">The </w:t>
      </w:r>
      <w:r w:rsidRPr="00AE2E46">
        <w:t>agents work by direct clotting factor inhibition and not clotting factor depletion. Therefore the administration of clotting factors (FFP, PCC etc) is not anticipated to be wholly effective in reversing their effect. Discussion with a haematologist is recommended.</w:t>
      </w:r>
    </w:p>
    <w:p w:rsidR="0085716E" w:rsidRPr="00AE2E46" w:rsidRDefault="0085716E" w:rsidP="008156CB"/>
    <w:p w:rsidR="0085716E" w:rsidRPr="00AE2E46" w:rsidRDefault="0085716E" w:rsidP="008156CB">
      <w:r>
        <w:t xml:space="preserve">None of the </w:t>
      </w:r>
      <w:r w:rsidRPr="00AE2E46">
        <w:t>agent</w:t>
      </w:r>
      <w:r>
        <w:t>s work</w:t>
      </w:r>
      <w:r w:rsidRPr="00AE2E46">
        <w:t xml:space="preserve"> by blocking the effect of Vitamin K in the production of clotting factors therefore vitamin K administration will have no benefit.</w:t>
      </w:r>
    </w:p>
    <w:p w:rsidR="0085716E" w:rsidRPr="00AE2E46" w:rsidRDefault="0085716E" w:rsidP="008156CB"/>
    <w:p w:rsidR="0085716E" w:rsidRDefault="0085716E" w:rsidP="008156CB">
      <w:r w:rsidRPr="00AE2E46">
        <w:t>Interpretation of routine laboratory coagulation tests may prove difficult and the relevance of these should be discussed with a haematologist.</w:t>
      </w:r>
    </w:p>
    <w:p w:rsidR="0085716E" w:rsidRDefault="0085716E" w:rsidP="008156CB"/>
    <w:p w:rsidR="0085716E" w:rsidRDefault="0085716E" w:rsidP="008156CB"/>
    <w:p w:rsidR="0085716E" w:rsidRDefault="0085716E" w:rsidP="008156CB"/>
    <w:p w:rsidR="0085716E" w:rsidRDefault="0085716E" w:rsidP="008156CB">
      <w:r>
        <w:t xml:space="preserve">Based on pathway developed by </w:t>
      </w:r>
      <w:smartTag w:uri="urn:schemas-microsoft-com:office:smarttags" w:element="City">
        <w:smartTag w:uri="urn:schemas-microsoft-com:office:smarttags" w:element="place">
          <w:r w:rsidRPr="00307A3C">
            <w:t>Cheshire</w:t>
          </w:r>
        </w:smartTag>
      </w:smartTag>
      <w:r w:rsidRPr="00307A3C">
        <w:t xml:space="preserve"> and Merseyside Clinical Networks – Stroke Network</w:t>
      </w:r>
      <w:r>
        <w:t xml:space="preserve"> with adaptations by NW RTC</w:t>
      </w:r>
    </w:p>
    <w:p w:rsidR="0085716E" w:rsidRDefault="0085716E" w:rsidP="008156CB"/>
    <w:p w:rsidR="0085716E" w:rsidRPr="00AE2E46" w:rsidRDefault="0085716E" w:rsidP="008156CB">
      <w:pPr>
        <w:sectPr w:rsidR="0085716E" w:rsidRPr="00AE2E46" w:rsidSect="007551D4">
          <w:headerReference w:type="default" r:id="rId12"/>
          <w:footerReference w:type="default" r:id="rId13"/>
          <w:pgSz w:w="11906" w:h="16838"/>
          <w:pgMar w:top="1440" w:right="1286" w:bottom="1440" w:left="1260" w:header="708" w:footer="708" w:gutter="0"/>
          <w:cols w:space="708"/>
          <w:docGrid w:linePitch="360"/>
        </w:sectPr>
      </w:pPr>
      <w:r>
        <w:t>Editable version available on RTC website in major haemorrhage section</w:t>
      </w:r>
    </w:p>
    <w:p w:rsidR="0085716E" w:rsidRPr="000729BB" w:rsidRDefault="0085716E" w:rsidP="00164DD0">
      <w:pPr>
        <w:rPr>
          <w:sz w:val="28"/>
          <w:szCs w:val="28"/>
        </w:rPr>
      </w:pPr>
      <w:r>
        <w:rPr>
          <w:noProof/>
        </w:rPr>
        <w:pict>
          <v:shape id="Picture 15" o:spid="_x0000_s1031" type="#_x0000_t75" style="position:absolute;margin-left:54pt;margin-top:0;width:657pt;height:464.65pt;z-index:251655680;visibility:visible">
            <v:imagedata r:id="rId14" o:title=""/>
            <w10:wrap type="square"/>
          </v:shape>
        </w:pict>
      </w:r>
    </w:p>
    <w:p w:rsidR="0085716E" w:rsidRDefault="0085716E" w:rsidP="00164DD0">
      <w:pPr>
        <w:rPr>
          <w:b/>
          <w:sz w:val="28"/>
          <w:szCs w:val="28"/>
        </w:rPr>
        <w:sectPr w:rsidR="0085716E" w:rsidSect="00307A3C">
          <w:headerReference w:type="default" r:id="rId15"/>
          <w:footerReference w:type="default" r:id="rId16"/>
          <w:pgSz w:w="16838" w:h="11906" w:orient="landscape"/>
          <w:pgMar w:top="1622" w:right="1077" w:bottom="1287" w:left="539" w:header="709" w:footer="709" w:gutter="0"/>
          <w:cols w:space="708"/>
          <w:docGrid w:linePitch="360"/>
        </w:sectPr>
      </w:pPr>
    </w:p>
    <w:p w:rsidR="0085716E" w:rsidRPr="00ED3C87" w:rsidRDefault="0085716E" w:rsidP="00164DD0">
      <w:r>
        <w:rPr>
          <w:b/>
          <w:sz w:val="28"/>
          <w:szCs w:val="28"/>
        </w:rPr>
        <w:t>8. Seven Steps for Successful Coordination in Major Haemorrhage</w:t>
      </w:r>
    </w:p>
    <w:p w:rsidR="0085716E" w:rsidRDefault="0085716E" w:rsidP="0085143B">
      <w:pPr>
        <w:numPr>
          <w:ilvl w:val="0"/>
          <w:numId w:val="19"/>
        </w:numPr>
        <w:tabs>
          <w:tab w:val="num" w:pos="360"/>
        </w:tabs>
        <w:ind w:left="0" w:firstLine="0"/>
        <w:rPr>
          <w:sz w:val="28"/>
          <w:szCs w:val="28"/>
        </w:rPr>
      </w:pPr>
      <w:r>
        <w:rPr>
          <w:b/>
          <w:bCs/>
        </w:rPr>
        <w:t>Recognise trigger and activate pathway for management of major haemorrhage</w:t>
      </w:r>
      <w:r>
        <w:rPr>
          <w:bCs/>
        </w:rPr>
        <w:t xml:space="preserve">; </w:t>
      </w:r>
      <w:r>
        <w:rPr>
          <w:b/>
          <w:bCs/>
        </w:rPr>
        <w:t>assemble the emergency response team</w:t>
      </w:r>
      <w:r>
        <w:t xml:space="preserve"> </w:t>
      </w:r>
      <w:r>
        <w:rPr>
          <w:noProof/>
        </w:rPr>
      </w:r>
      <w:r w:rsidRPr="00112CE2">
        <w:rPr>
          <w:b/>
          <w:bCs/>
          <w:sz w:val="28"/>
          <w:szCs w:val="28"/>
        </w:rPr>
        <w:pict>
          <v:shape id="_x0000_s1032" type="#_x0000_t202" style="width:395.6pt;height:35.55pt;mso-position-horizontal-relative:char;mso-position-vertical-relative:line" fillcolor="#fcc">
            <v:fill opacity="30802f" color2="#760000" o:opacity2="13763f" rotate="t"/>
            <v:textbox style="mso-next-textbox:#_x0000_s1032;mso-fit-shape-to-text:t">
              <w:txbxContent>
                <w:p w:rsidR="0085716E" w:rsidRDefault="0085716E" w:rsidP="00922AC2">
                  <w:r>
                    <w:t>populate with local arrangements for how to activate team (eg: through switch) and which people need to be contacted</w:t>
                  </w:r>
                </w:p>
              </w:txbxContent>
            </v:textbox>
            <w10:anchorlock/>
          </v:shape>
        </w:pict>
      </w:r>
    </w:p>
    <w:p w:rsidR="0085716E" w:rsidRDefault="0085716E" w:rsidP="0085143B">
      <w:pPr>
        <w:numPr>
          <w:ilvl w:val="0"/>
          <w:numId w:val="20"/>
        </w:numPr>
        <w:tabs>
          <w:tab w:val="num" w:pos="360"/>
        </w:tabs>
        <w:ind w:left="0" w:firstLine="0"/>
        <w:rPr>
          <w:b/>
          <w:bCs/>
        </w:rPr>
      </w:pPr>
      <w:r>
        <w:rPr>
          <w:b/>
          <w:bCs/>
        </w:rPr>
        <w:t>Allocate team roles</w:t>
      </w:r>
    </w:p>
    <w:p w:rsidR="0085716E" w:rsidRDefault="0085716E" w:rsidP="0085143B">
      <w:pPr>
        <w:numPr>
          <w:ilvl w:val="1"/>
          <w:numId w:val="20"/>
        </w:numPr>
        <w:tabs>
          <w:tab w:val="num" w:pos="540"/>
        </w:tabs>
        <w:ind w:left="540" w:hanging="540"/>
        <w:rPr>
          <w:b/>
          <w:bCs/>
          <w:sz w:val="20"/>
          <w:szCs w:val="20"/>
        </w:rPr>
      </w:pPr>
      <w:r>
        <w:rPr>
          <w:bCs/>
          <w:sz w:val="20"/>
          <w:szCs w:val="20"/>
        </w:rPr>
        <w:t>Team leader</w:t>
      </w:r>
    </w:p>
    <w:p w:rsidR="0085716E" w:rsidRDefault="0085716E" w:rsidP="0085143B">
      <w:pPr>
        <w:numPr>
          <w:ilvl w:val="1"/>
          <w:numId w:val="20"/>
        </w:numPr>
        <w:tabs>
          <w:tab w:val="num" w:pos="540"/>
        </w:tabs>
        <w:ind w:left="540" w:hanging="540"/>
        <w:rPr>
          <w:sz w:val="20"/>
          <w:szCs w:val="20"/>
        </w:rPr>
      </w:pPr>
      <w:r>
        <w:rPr>
          <w:sz w:val="20"/>
          <w:szCs w:val="20"/>
        </w:rPr>
        <w:t>Communication lead– dedicated person for communication with other teams, especially the transfusion laboratory and support services – not the most junior member of the team</w:t>
      </w:r>
    </w:p>
    <w:p w:rsidR="0085716E" w:rsidRDefault="0085716E" w:rsidP="0085143B">
      <w:pPr>
        <w:numPr>
          <w:ilvl w:val="1"/>
          <w:numId w:val="20"/>
        </w:numPr>
        <w:tabs>
          <w:tab w:val="num" w:pos="540"/>
        </w:tabs>
        <w:ind w:left="540" w:hanging="540"/>
        <w:rPr>
          <w:sz w:val="20"/>
          <w:szCs w:val="20"/>
        </w:rPr>
      </w:pPr>
      <w:r>
        <w:rPr>
          <w:sz w:val="20"/>
          <w:szCs w:val="20"/>
        </w:rPr>
        <w:t>Sample taker / investigation organiser / documenter</w:t>
      </w:r>
    </w:p>
    <w:p w:rsidR="0085716E" w:rsidRDefault="0085716E" w:rsidP="0085143B">
      <w:pPr>
        <w:numPr>
          <w:ilvl w:val="1"/>
          <w:numId w:val="20"/>
        </w:numPr>
        <w:tabs>
          <w:tab w:val="num" w:pos="540"/>
        </w:tabs>
        <w:ind w:left="540" w:hanging="540"/>
        <w:rPr>
          <w:b/>
          <w:bCs/>
          <w:sz w:val="20"/>
          <w:szCs w:val="20"/>
        </w:rPr>
      </w:pPr>
      <w:r>
        <w:rPr>
          <w:sz w:val="20"/>
          <w:szCs w:val="20"/>
        </w:rPr>
        <w:t>Transporter - porter, member of team from clinical area) ,</w:t>
      </w:r>
    </w:p>
    <w:p w:rsidR="0085716E" w:rsidRDefault="0085716E" w:rsidP="00922AC2">
      <w:pPr>
        <w:ind w:right="-694"/>
      </w:pPr>
      <w:r>
        <w:rPr>
          <w:noProof/>
        </w:rPr>
      </w:r>
      <w:r>
        <w:pict>
          <v:shape id="_x0000_s1033" type="#_x0000_t202" style="width:177.95pt;height:21.75pt;mso-wrap-style:none;mso-position-horizontal-relative:char;mso-position-vertical-relative:line" fillcolor="#fcc">
            <v:fill opacity="38011f" color2="#760000" rotate="t"/>
            <v:textbox style="mso-next-textbox:#_x0000_s1033;mso-fit-shape-to-text:t">
              <w:txbxContent>
                <w:p w:rsidR="0085716E" w:rsidRDefault="0085716E" w:rsidP="00922AC2">
                  <w:r>
                    <w:t xml:space="preserve">Insert local arrangements here      </w:t>
                  </w:r>
                </w:p>
              </w:txbxContent>
            </v:textbox>
            <w10:anchorlock/>
          </v:shape>
        </w:pict>
      </w:r>
    </w:p>
    <w:p w:rsidR="0085716E" w:rsidRDefault="0085716E" w:rsidP="0085143B">
      <w:pPr>
        <w:numPr>
          <w:ilvl w:val="0"/>
          <w:numId w:val="20"/>
        </w:numPr>
        <w:tabs>
          <w:tab w:val="num" w:pos="360"/>
        </w:tabs>
        <w:ind w:left="0" w:firstLine="0"/>
        <w:rPr>
          <w:b/>
        </w:rPr>
      </w:pPr>
      <w:r>
        <w:rPr>
          <w:b/>
          <w:bCs/>
        </w:rPr>
        <w:t>Complete request forms / take blood samples, label samples correctly /  recheck labelling</w:t>
      </w:r>
      <w:r>
        <w:rPr>
          <w:b/>
        </w:rPr>
        <w:t xml:space="preserve"> </w:t>
      </w:r>
    </w:p>
    <w:p w:rsidR="0085716E" w:rsidRDefault="0085716E" w:rsidP="00922AC2">
      <w:pPr>
        <w:tabs>
          <w:tab w:val="left" w:pos="1440"/>
        </w:tabs>
        <w:rPr>
          <w:sz w:val="20"/>
          <w:szCs w:val="20"/>
        </w:rPr>
      </w:pPr>
      <w:r>
        <w:rPr>
          <w:sz w:val="20"/>
          <w:szCs w:val="20"/>
        </w:rPr>
        <w:t>U+E, FBC, Crossmatch, PT, APTT, Fibrinogen, ABG, Calcium, lactate</w:t>
      </w:r>
    </w:p>
    <w:p w:rsidR="0085716E" w:rsidRDefault="0085716E" w:rsidP="00922AC2">
      <w:pPr>
        <w:tabs>
          <w:tab w:val="left" w:pos="1440"/>
        </w:tabs>
      </w:pPr>
      <w:r>
        <w:rPr>
          <w:noProof/>
        </w:rPr>
      </w:r>
      <w:r>
        <w:pict>
          <v:shape id="_x0000_s1034" type="#_x0000_t202" style="width:450.75pt;height:36pt;mso-wrap-style:none;mso-position-horizontal-relative:char;mso-position-vertical-relative:line" fillcolor="#fcc">
            <v:fill opacity="30802f"/>
            <v:textbox style="mso-next-textbox:#_x0000_s1034">
              <w:txbxContent>
                <w:p w:rsidR="0085716E" w:rsidRDefault="0085716E" w:rsidP="00922AC2">
                  <w:r w:rsidRPr="00C07FCC">
                    <w:rPr>
                      <w:sz w:val="20"/>
                      <w:szCs w:val="20"/>
                    </w:rPr>
                    <w:t>Insert sample labelling and requesting rules here eg: minimum patient identifiers, need for written request from; also sample containers and availability of near patient testing</w:t>
                  </w:r>
                </w:p>
              </w:txbxContent>
            </v:textbox>
            <w10:anchorlock/>
          </v:shape>
        </w:pict>
      </w:r>
    </w:p>
    <w:p w:rsidR="0085716E" w:rsidRDefault="0085716E" w:rsidP="0085143B">
      <w:pPr>
        <w:numPr>
          <w:ilvl w:val="0"/>
          <w:numId w:val="20"/>
        </w:numPr>
        <w:tabs>
          <w:tab w:val="num" w:pos="360"/>
        </w:tabs>
        <w:ind w:left="0" w:firstLine="0"/>
        <w:rPr>
          <w:b/>
        </w:rPr>
      </w:pPr>
      <w:r>
        <w:rPr>
          <w:b/>
          <w:bCs/>
        </w:rPr>
        <w:t>Request blood / blood components</w:t>
      </w:r>
      <w:r>
        <w:rPr>
          <w:b/>
        </w:rPr>
        <w:t xml:space="preserve"> </w:t>
      </w:r>
    </w:p>
    <w:p w:rsidR="0085716E" w:rsidRDefault="0085716E" w:rsidP="00922AC2">
      <w:pPr>
        <w:rPr>
          <w:b/>
        </w:rPr>
      </w:pPr>
      <w:r>
        <w:rPr>
          <w:b/>
          <w:bCs/>
        </w:rPr>
        <w:t>Team leader should decide on use of:</w:t>
      </w:r>
      <w:r>
        <w:rPr>
          <w:b/>
        </w:rPr>
        <w:t xml:space="preserve"> </w:t>
      </w:r>
    </w:p>
    <w:p w:rsidR="0085716E" w:rsidRDefault="0085716E" w:rsidP="0085143B">
      <w:pPr>
        <w:numPr>
          <w:ilvl w:val="1"/>
          <w:numId w:val="20"/>
        </w:numPr>
        <w:tabs>
          <w:tab w:val="num" w:pos="540"/>
        </w:tabs>
        <w:ind w:left="0" w:firstLine="0"/>
        <w:rPr>
          <w:sz w:val="20"/>
        </w:rPr>
      </w:pPr>
      <w:r>
        <w:rPr>
          <w:sz w:val="20"/>
          <w:szCs w:val="20"/>
        </w:rPr>
        <w:t>Emergency O Neg (immediate)</w:t>
      </w:r>
      <w:r>
        <w:rPr>
          <w:b/>
          <w:bCs/>
          <w:sz w:val="20"/>
          <w:szCs w:val="28"/>
        </w:rPr>
        <w:t xml:space="preserve"> </w:t>
      </w:r>
      <w:r>
        <w:rPr>
          <w:noProof/>
        </w:rPr>
      </w:r>
      <w:r w:rsidRPr="005712F7">
        <w:rPr>
          <w:b/>
          <w:bCs/>
          <w:sz w:val="20"/>
          <w:szCs w:val="28"/>
        </w:rPr>
        <w:pict>
          <v:shape id="_x0000_s1035" type="#_x0000_t202" style="width:373.4pt;height:29.95pt;mso-wrap-style:none;mso-position-horizontal-relative:char;mso-position-vertical-relative:line" fillcolor="#fcc">
            <v:fill opacity="34079f"/>
            <v:textbox style="mso-next-textbox:#_x0000_s1035">
              <w:txbxContent>
                <w:p w:rsidR="0085716E" w:rsidRDefault="0085716E" w:rsidP="00922AC2">
                  <w:r>
                    <w:t>Insert location of emergency O Neg blood here and number of units</w:t>
                  </w:r>
                </w:p>
              </w:txbxContent>
            </v:textbox>
            <w10:anchorlock/>
          </v:shape>
        </w:pict>
      </w:r>
    </w:p>
    <w:p w:rsidR="0085716E" w:rsidRDefault="0085716E" w:rsidP="0085143B">
      <w:pPr>
        <w:numPr>
          <w:ilvl w:val="1"/>
          <w:numId w:val="20"/>
        </w:numPr>
        <w:tabs>
          <w:tab w:val="num" w:pos="540"/>
        </w:tabs>
        <w:ind w:left="0" w:firstLine="0"/>
        <w:rPr>
          <w:sz w:val="20"/>
          <w:szCs w:val="22"/>
        </w:rPr>
      </w:pPr>
      <w:r>
        <w:rPr>
          <w:sz w:val="20"/>
          <w:szCs w:val="20"/>
        </w:rPr>
        <w:t>Group specific</w:t>
      </w:r>
      <w:r>
        <w:rPr>
          <w:sz w:val="20"/>
          <w:szCs w:val="22"/>
        </w:rPr>
        <w:t xml:space="preserve"> </w:t>
      </w:r>
      <w:r>
        <w:rPr>
          <w:color w:val="FF0000"/>
          <w:sz w:val="20"/>
          <w:szCs w:val="22"/>
        </w:rPr>
        <w:t>insert time to availability here</w:t>
      </w:r>
    </w:p>
    <w:p w:rsidR="0085716E" w:rsidRDefault="0085716E" w:rsidP="0085143B">
      <w:pPr>
        <w:numPr>
          <w:ilvl w:val="1"/>
          <w:numId w:val="20"/>
        </w:numPr>
        <w:tabs>
          <w:tab w:val="num" w:pos="540"/>
        </w:tabs>
        <w:ind w:left="0" w:firstLine="0"/>
        <w:rPr>
          <w:color w:val="FF0000"/>
          <w:sz w:val="20"/>
          <w:szCs w:val="22"/>
        </w:rPr>
      </w:pPr>
      <w:r>
        <w:rPr>
          <w:sz w:val="20"/>
          <w:szCs w:val="20"/>
        </w:rPr>
        <w:t>Crossmatch</w:t>
      </w:r>
      <w:r>
        <w:rPr>
          <w:sz w:val="20"/>
          <w:szCs w:val="22"/>
        </w:rPr>
        <w:t xml:space="preserve"> </w:t>
      </w:r>
      <w:r>
        <w:rPr>
          <w:color w:val="FF0000"/>
          <w:sz w:val="20"/>
          <w:szCs w:val="22"/>
        </w:rPr>
        <w:t>insert time to availability here</w:t>
      </w:r>
    </w:p>
    <w:p w:rsidR="0085716E" w:rsidRDefault="0085716E" w:rsidP="00922AC2">
      <w:r>
        <w:rPr>
          <w:b/>
        </w:rPr>
        <w:t>Communication lead to contact laboratory:</w:t>
      </w:r>
      <w:r>
        <w:t xml:space="preserve"> </w:t>
      </w:r>
      <w:r>
        <w:rPr>
          <w:noProof/>
        </w:rPr>
      </w:r>
      <w:r>
        <w:pict>
          <v:shape id="_x0000_s1036" type="#_x0000_t202" style="width:402.7pt;height:21.75pt;mso-wrap-style:none;mso-position-horizontal-relative:char;mso-position-vertical-relative:line" fillcolor="#fcc">
            <v:fill opacity=".5"/>
            <v:textbox style="mso-next-textbox:#_x0000_s1036;mso-fit-shape-to-text:t">
              <w:txbxContent>
                <w:p w:rsidR="0085716E" w:rsidRDefault="0085716E" w:rsidP="00922AC2">
                  <w:r>
                    <w:t>Contact numbers for lab here : in working hours and out of working hours</w:t>
                  </w:r>
                </w:p>
              </w:txbxContent>
            </v:textbox>
            <w10:anchorlock/>
          </v:shape>
        </w:pict>
      </w:r>
      <w:r>
        <w:t xml:space="preserve"> </w:t>
      </w:r>
    </w:p>
    <w:p w:rsidR="0085716E" w:rsidRDefault="0085716E" w:rsidP="00922AC2">
      <w:pPr>
        <w:rPr>
          <w:sz w:val="20"/>
          <w:szCs w:val="20"/>
        </w:rPr>
      </w:pPr>
      <w:r>
        <w:rPr>
          <w:sz w:val="20"/>
          <w:szCs w:val="20"/>
        </w:rPr>
        <w:t>and inform the BMS of the following:</w:t>
      </w:r>
    </w:p>
    <w:p w:rsidR="0085716E" w:rsidRDefault="0085716E" w:rsidP="0085143B">
      <w:pPr>
        <w:numPr>
          <w:ilvl w:val="2"/>
          <w:numId w:val="20"/>
        </w:numPr>
        <w:tabs>
          <w:tab w:val="num" w:pos="540"/>
        </w:tabs>
        <w:ind w:left="540" w:hanging="540"/>
        <w:rPr>
          <w:sz w:val="20"/>
          <w:szCs w:val="20"/>
        </w:rPr>
      </w:pPr>
      <w:r>
        <w:rPr>
          <w:sz w:val="20"/>
          <w:szCs w:val="20"/>
        </w:rPr>
        <w:t>Your name, location and ext number</w:t>
      </w:r>
    </w:p>
    <w:p w:rsidR="0085716E" w:rsidRDefault="0085716E" w:rsidP="0085143B">
      <w:pPr>
        <w:numPr>
          <w:ilvl w:val="2"/>
          <w:numId w:val="20"/>
        </w:numPr>
        <w:tabs>
          <w:tab w:val="num" w:pos="540"/>
        </w:tabs>
        <w:ind w:left="540" w:hanging="540"/>
        <w:rPr>
          <w:sz w:val="20"/>
          <w:szCs w:val="20"/>
        </w:rPr>
      </w:pPr>
      <w:r>
        <w:rPr>
          <w:sz w:val="20"/>
          <w:szCs w:val="20"/>
        </w:rPr>
        <w:t>‘this relates to the major haemorrhage situation’</w:t>
      </w:r>
    </w:p>
    <w:p w:rsidR="0085716E" w:rsidRDefault="0085716E" w:rsidP="0085143B">
      <w:pPr>
        <w:numPr>
          <w:ilvl w:val="2"/>
          <w:numId w:val="20"/>
        </w:numPr>
        <w:tabs>
          <w:tab w:val="num" w:pos="540"/>
        </w:tabs>
        <w:ind w:left="540" w:hanging="540"/>
        <w:rPr>
          <w:sz w:val="20"/>
          <w:szCs w:val="20"/>
        </w:rPr>
      </w:pPr>
      <w:r>
        <w:rPr>
          <w:sz w:val="20"/>
          <w:szCs w:val="20"/>
        </w:rPr>
        <w:t>The patient’s details: ideally surname, forename, hospital number, DOB (insert acceptable details for unknown casualty here)</w:t>
      </w:r>
    </w:p>
    <w:p w:rsidR="0085716E" w:rsidRDefault="0085716E" w:rsidP="0085143B">
      <w:pPr>
        <w:numPr>
          <w:ilvl w:val="2"/>
          <w:numId w:val="20"/>
        </w:numPr>
        <w:tabs>
          <w:tab w:val="num" w:pos="540"/>
        </w:tabs>
        <w:ind w:left="540" w:hanging="540"/>
        <w:rPr>
          <w:sz w:val="20"/>
          <w:szCs w:val="20"/>
        </w:rPr>
      </w:pPr>
      <w:r>
        <w:rPr>
          <w:sz w:val="20"/>
          <w:szCs w:val="20"/>
        </w:rPr>
        <w:t>Whether O Neg has been used and how many units</w:t>
      </w:r>
    </w:p>
    <w:p w:rsidR="0085716E" w:rsidRDefault="0085716E" w:rsidP="0085143B">
      <w:pPr>
        <w:numPr>
          <w:ilvl w:val="2"/>
          <w:numId w:val="20"/>
        </w:numPr>
        <w:tabs>
          <w:tab w:val="num" w:pos="540"/>
        </w:tabs>
        <w:ind w:left="540" w:hanging="540"/>
        <w:rPr>
          <w:sz w:val="20"/>
          <w:szCs w:val="20"/>
        </w:rPr>
      </w:pPr>
      <w:r>
        <w:rPr>
          <w:sz w:val="20"/>
          <w:szCs w:val="20"/>
        </w:rPr>
        <w:t xml:space="preserve">Order major haemorrhage pack(s) </w:t>
      </w:r>
    </w:p>
    <w:p w:rsidR="0085716E" w:rsidRDefault="0085716E" w:rsidP="0085143B">
      <w:pPr>
        <w:numPr>
          <w:ilvl w:val="2"/>
          <w:numId w:val="20"/>
        </w:numPr>
        <w:tabs>
          <w:tab w:val="num" w:pos="540"/>
        </w:tabs>
        <w:ind w:left="540" w:hanging="540"/>
        <w:rPr>
          <w:sz w:val="20"/>
          <w:szCs w:val="20"/>
        </w:rPr>
      </w:pPr>
      <w:r>
        <w:rPr>
          <w:sz w:val="20"/>
          <w:szCs w:val="20"/>
        </w:rPr>
        <w:t>Contact lab if blood has been transferred in with patient from another Trust or patient is being transferred to another Trust</w:t>
      </w:r>
    </w:p>
    <w:p w:rsidR="0085716E" w:rsidRDefault="0085716E" w:rsidP="0085143B">
      <w:pPr>
        <w:numPr>
          <w:ilvl w:val="0"/>
          <w:numId w:val="20"/>
        </w:numPr>
        <w:tabs>
          <w:tab w:val="num" w:pos="360"/>
        </w:tabs>
        <w:ind w:left="0" w:firstLine="0"/>
        <w:rPr>
          <w:b/>
          <w:sz w:val="28"/>
          <w:szCs w:val="28"/>
        </w:rPr>
      </w:pPr>
      <w:r>
        <w:rPr>
          <w:b/>
          <w:bCs/>
        </w:rPr>
        <w:t>The clinical / laboratory interface</w:t>
      </w:r>
    </w:p>
    <w:p w:rsidR="0085716E" w:rsidRDefault="0085716E" w:rsidP="0085143B">
      <w:pPr>
        <w:numPr>
          <w:ilvl w:val="0"/>
          <w:numId w:val="21"/>
        </w:numPr>
        <w:tabs>
          <w:tab w:val="clear" w:pos="360"/>
          <w:tab w:val="num" w:pos="540"/>
        </w:tabs>
        <w:ind w:left="540" w:hanging="540"/>
        <w:rPr>
          <w:sz w:val="20"/>
          <w:szCs w:val="20"/>
        </w:rPr>
      </w:pPr>
      <w:r>
        <w:rPr>
          <w:sz w:val="20"/>
          <w:szCs w:val="20"/>
        </w:rPr>
        <w:t>Communication lead to arrange for transport of samples / request form to the laboratory</w:t>
      </w:r>
    </w:p>
    <w:p w:rsidR="0085716E" w:rsidRDefault="0085716E" w:rsidP="0085143B">
      <w:pPr>
        <w:numPr>
          <w:ilvl w:val="0"/>
          <w:numId w:val="21"/>
        </w:numPr>
        <w:tabs>
          <w:tab w:val="clear" w:pos="360"/>
          <w:tab w:val="num" w:pos="540"/>
        </w:tabs>
        <w:rPr>
          <w:sz w:val="20"/>
          <w:szCs w:val="20"/>
        </w:rPr>
      </w:pPr>
      <w:r>
        <w:rPr>
          <w:sz w:val="20"/>
          <w:szCs w:val="20"/>
        </w:rPr>
        <w:t>BMS to ring communication lead with results of urgent investigations</w:t>
      </w:r>
    </w:p>
    <w:p w:rsidR="0085716E" w:rsidRDefault="0085716E" w:rsidP="0085143B">
      <w:pPr>
        <w:numPr>
          <w:ilvl w:val="0"/>
          <w:numId w:val="21"/>
        </w:numPr>
        <w:tabs>
          <w:tab w:val="clear" w:pos="360"/>
          <w:tab w:val="num" w:pos="540"/>
        </w:tabs>
        <w:rPr>
          <w:sz w:val="20"/>
          <w:szCs w:val="20"/>
        </w:rPr>
      </w:pPr>
      <w:r>
        <w:rPr>
          <w:sz w:val="20"/>
          <w:szCs w:val="20"/>
        </w:rPr>
        <w:t>BMS to ring communication lead when blood / blood components are ready</w:t>
      </w:r>
    </w:p>
    <w:p w:rsidR="0085716E" w:rsidRDefault="0085716E" w:rsidP="0085143B">
      <w:pPr>
        <w:numPr>
          <w:ilvl w:val="0"/>
          <w:numId w:val="21"/>
        </w:numPr>
        <w:tabs>
          <w:tab w:val="clear" w:pos="360"/>
          <w:tab w:val="num" w:pos="540"/>
        </w:tabs>
        <w:rPr>
          <w:sz w:val="20"/>
          <w:szCs w:val="20"/>
        </w:rPr>
      </w:pPr>
      <w:r>
        <w:rPr>
          <w:sz w:val="20"/>
          <w:szCs w:val="20"/>
        </w:rPr>
        <w:t>Communication lead to arrange to collect blood and blood components from the laboratory</w:t>
      </w:r>
    </w:p>
    <w:p w:rsidR="0085716E" w:rsidRDefault="0085716E" w:rsidP="00922AC2">
      <w:pPr>
        <w:rPr>
          <w:b/>
          <w:sz w:val="28"/>
          <w:szCs w:val="28"/>
        </w:rPr>
      </w:pPr>
      <w:r>
        <w:rPr>
          <w:b/>
        </w:rPr>
        <w:t xml:space="preserve"> </w:t>
      </w:r>
      <w:r>
        <w:rPr>
          <w:noProof/>
        </w:rPr>
      </w:r>
      <w:r w:rsidRPr="00112CE2">
        <w:rPr>
          <w:b/>
          <w:bCs/>
          <w:sz w:val="28"/>
          <w:szCs w:val="28"/>
        </w:rPr>
        <w:pict>
          <v:shape id="_x0000_s1037" type="#_x0000_t202" style="width:450.75pt;height:35.55pt;mso-wrap-style:none;mso-position-horizontal-relative:char;mso-position-vertical-relative:line" fillcolor="#fcc">
            <v:fill opacity=".5"/>
            <v:textbox style="mso-next-textbox:#_x0000_s1037;mso-fit-shape-to-text:t">
              <w:txbxContent>
                <w:p w:rsidR="0085716E" w:rsidRDefault="0085716E" w:rsidP="00922AC2">
                  <w:r>
                    <w:t>populate with local transport arrangements eg: porter contact details, designated Healthcare assistant</w:t>
                  </w:r>
                </w:p>
              </w:txbxContent>
            </v:textbox>
            <w10:anchorlock/>
          </v:shape>
        </w:pict>
      </w:r>
    </w:p>
    <w:p w:rsidR="0085716E" w:rsidRDefault="0085716E" w:rsidP="0085143B">
      <w:pPr>
        <w:numPr>
          <w:ilvl w:val="0"/>
          <w:numId w:val="22"/>
        </w:numPr>
        <w:tabs>
          <w:tab w:val="num" w:pos="360"/>
        </w:tabs>
        <w:ind w:hanging="540"/>
        <w:rPr>
          <w:bCs/>
          <w:sz w:val="20"/>
          <w:szCs w:val="20"/>
        </w:rPr>
      </w:pPr>
      <w:r>
        <w:rPr>
          <w:b/>
          <w:bCs/>
        </w:rPr>
        <w:t>Communicate stand down of pathway</w:t>
      </w:r>
      <w:r>
        <w:rPr>
          <w:bCs/>
        </w:rPr>
        <w:t xml:space="preserve"> </w:t>
      </w:r>
      <w:r>
        <w:rPr>
          <w:sz w:val="20"/>
          <w:szCs w:val="20"/>
        </w:rPr>
        <w:t>and let lab know which products have been used</w:t>
      </w:r>
    </w:p>
    <w:p w:rsidR="0085716E" w:rsidRDefault="0085716E" w:rsidP="0085143B">
      <w:pPr>
        <w:numPr>
          <w:ilvl w:val="0"/>
          <w:numId w:val="22"/>
        </w:numPr>
        <w:tabs>
          <w:tab w:val="num" w:pos="360"/>
        </w:tabs>
        <w:ind w:left="0" w:firstLine="0"/>
        <w:rPr>
          <w:b/>
        </w:rPr>
      </w:pPr>
      <w:r>
        <w:rPr>
          <w:b/>
          <w:bCs/>
        </w:rPr>
        <w:t>Ensure documentation is complete</w:t>
      </w:r>
      <w:r>
        <w:rPr>
          <w:b/>
        </w:rPr>
        <w:t xml:space="preserve"> </w:t>
      </w:r>
    </w:p>
    <w:p w:rsidR="0085716E" w:rsidRDefault="0085716E" w:rsidP="0085143B">
      <w:pPr>
        <w:numPr>
          <w:ilvl w:val="1"/>
          <w:numId w:val="23"/>
        </w:numPr>
        <w:tabs>
          <w:tab w:val="num" w:pos="540"/>
        </w:tabs>
        <w:ind w:left="540"/>
        <w:rPr>
          <w:sz w:val="20"/>
          <w:szCs w:val="20"/>
        </w:rPr>
      </w:pPr>
      <w:r>
        <w:rPr>
          <w:sz w:val="20"/>
          <w:szCs w:val="20"/>
        </w:rPr>
        <w:t>Clinical area: monitoring of vital signs, timings of blood samples and communications, transfusion documentation in patient casenote record, return traceability information to laboratory, completion of audit proforma</w:t>
      </w:r>
    </w:p>
    <w:p w:rsidR="0085716E" w:rsidRDefault="0085716E" w:rsidP="0085143B">
      <w:pPr>
        <w:numPr>
          <w:ilvl w:val="1"/>
          <w:numId w:val="23"/>
        </w:numPr>
        <w:tabs>
          <w:tab w:val="num" w:pos="540"/>
        </w:tabs>
        <w:ind w:left="540"/>
        <w:rPr>
          <w:sz w:val="20"/>
          <w:szCs w:val="20"/>
        </w:rPr>
      </w:pPr>
      <w:r>
        <w:rPr>
          <w:sz w:val="20"/>
          <w:szCs w:val="20"/>
        </w:rPr>
        <w:t>Laboratory: keep record of communications / telephone requests in patient laboratory record</w:t>
      </w:r>
    </w:p>
    <w:p w:rsidR="0085716E" w:rsidRDefault="0085716E" w:rsidP="00922AC2">
      <w:pPr>
        <w:jc w:val="center"/>
        <w:rPr>
          <w:rFonts w:cs="Arial"/>
          <w:b/>
        </w:rPr>
        <w:sectPr w:rsidR="0085716E" w:rsidSect="0085143B">
          <w:pgSz w:w="11906" w:h="16838"/>
          <w:pgMar w:top="1077" w:right="1287" w:bottom="539" w:left="1622" w:header="709" w:footer="709" w:gutter="0"/>
          <w:cols w:space="708"/>
          <w:docGrid w:linePitch="360"/>
        </w:sectPr>
      </w:pPr>
    </w:p>
    <w:p w:rsidR="0085716E" w:rsidRPr="00414910" w:rsidRDefault="0085716E" w:rsidP="00164DD0">
      <w:pPr>
        <w:rPr>
          <w:sz w:val="28"/>
          <w:szCs w:val="28"/>
        </w:rPr>
      </w:pPr>
      <w:r>
        <w:rPr>
          <w:b/>
          <w:sz w:val="28"/>
          <w:szCs w:val="28"/>
        </w:rPr>
        <w:t xml:space="preserve">9. </w:t>
      </w:r>
      <w:r w:rsidRPr="00414910">
        <w:rPr>
          <w:b/>
          <w:sz w:val="28"/>
          <w:szCs w:val="28"/>
        </w:rPr>
        <w:t>Aims of the toolkit</w:t>
      </w:r>
    </w:p>
    <w:p w:rsidR="0085716E" w:rsidRDefault="0085716E" w:rsidP="0085143B">
      <w:pPr>
        <w:numPr>
          <w:ilvl w:val="1"/>
          <w:numId w:val="5"/>
        </w:numPr>
        <w:tabs>
          <w:tab w:val="clear" w:pos="1620"/>
          <w:tab w:val="num" w:pos="540"/>
        </w:tabs>
        <w:ind w:left="540" w:hanging="540"/>
      </w:pPr>
      <w:r w:rsidRPr="00A876C4">
        <w:t xml:space="preserve">To produce a simple algorithm for the </w:t>
      </w:r>
      <w:r>
        <w:t xml:space="preserve">transfusion </w:t>
      </w:r>
      <w:r w:rsidRPr="00A876C4">
        <w:t xml:space="preserve">management of </w:t>
      </w:r>
      <w:r>
        <w:t xml:space="preserve">major </w:t>
      </w:r>
      <w:r w:rsidRPr="00A876C4">
        <w:t>haemorrhage based on current evidence that can be customised according to local circumstances (Trust or speciality specific)</w:t>
      </w:r>
      <w:r>
        <w:t xml:space="preserve"> (see sections 5,6 &amp; 7).  Implementation of the toolkit will support trusts in meeting requirements of the NPSA Rapid Response Report on emergency availability of blood and blood components</w:t>
      </w:r>
    </w:p>
    <w:p w:rsidR="0085716E" w:rsidRDefault="0085716E" w:rsidP="0085143B">
      <w:pPr>
        <w:numPr>
          <w:ilvl w:val="1"/>
          <w:numId w:val="5"/>
        </w:numPr>
        <w:tabs>
          <w:tab w:val="clear" w:pos="1620"/>
          <w:tab w:val="num" w:pos="540"/>
        </w:tabs>
        <w:ind w:left="540" w:hanging="540"/>
      </w:pPr>
      <w:r>
        <w:t>The toolkit will be updated by the steering group as new evidence becomes available</w:t>
      </w:r>
    </w:p>
    <w:p w:rsidR="0085716E" w:rsidRDefault="0085716E" w:rsidP="0085143B">
      <w:pPr>
        <w:numPr>
          <w:ilvl w:val="1"/>
          <w:numId w:val="5"/>
        </w:numPr>
        <w:tabs>
          <w:tab w:val="clear" w:pos="1620"/>
          <w:tab w:val="num" w:pos="540"/>
        </w:tabs>
        <w:ind w:left="540" w:hanging="540"/>
      </w:pPr>
      <w:r>
        <w:t xml:space="preserve">The toolkit is not meant to be a full guideline, but is a means of putting current evidence into practice.  Three recent guidelines and the </w:t>
      </w:r>
      <w:r w:rsidRPr="001060FD">
        <w:t>Canadian Consensus Statement are recommended for further reading: (AAGBI, Australian</w:t>
      </w:r>
      <w:r>
        <w:t xml:space="preserve">, European </w:t>
      </w:r>
      <w:r>
        <w:rPr>
          <w:vertAlign w:val="superscript"/>
        </w:rPr>
        <w:t>3,6,7</w:t>
      </w:r>
      <w:r>
        <w:t>)</w:t>
      </w:r>
    </w:p>
    <w:p w:rsidR="0085716E" w:rsidRDefault="0085716E" w:rsidP="0085143B">
      <w:pPr>
        <w:numPr>
          <w:ilvl w:val="1"/>
          <w:numId w:val="5"/>
        </w:numPr>
        <w:tabs>
          <w:tab w:val="clear" w:pos="1620"/>
          <w:tab w:val="num" w:pos="540"/>
        </w:tabs>
        <w:ind w:left="540" w:hanging="540"/>
      </w:pPr>
      <w:r>
        <w:t>The circumstances considered in detail during the production of the toolkit include:</w:t>
      </w:r>
    </w:p>
    <w:p w:rsidR="0085716E" w:rsidRDefault="0085716E" w:rsidP="0085143B">
      <w:pPr>
        <w:numPr>
          <w:ilvl w:val="2"/>
          <w:numId w:val="5"/>
        </w:numPr>
        <w:ind w:left="1080"/>
      </w:pPr>
      <w:r>
        <w:t>Major trauma</w:t>
      </w:r>
    </w:p>
    <w:p w:rsidR="0085716E" w:rsidRDefault="0085716E" w:rsidP="0085143B">
      <w:pPr>
        <w:numPr>
          <w:ilvl w:val="2"/>
          <w:numId w:val="5"/>
        </w:numPr>
        <w:ind w:left="1080"/>
      </w:pPr>
      <w:r>
        <w:t>General and vascular surgery</w:t>
      </w:r>
    </w:p>
    <w:p w:rsidR="0085716E" w:rsidRDefault="0085716E" w:rsidP="0085143B">
      <w:pPr>
        <w:numPr>
          <w:ilvl w:val="2"/>
          <w:numId w:val="5"/>
        </w:numPr>
        <w:ind w:left="1080"/>
      </w:pPr>
      <w:r>
        <w:t>Cardiac surgery</w:t>
      </w:r>
    </w:p>
    <w:p w:rsidR="0085716E" w:rsidRDefault="0085716E" w:rsidP="0085143B">
      <w:pPr>
        <w:numPr>
          <w:ilvl w:val="2"/>
          <w:numId w:val="5"/>
        </w:numPr>
        <w:ind w:left="1080"/>
      </w:pPr>
      <w:r>
        <w:t>Obstetrics</w:t>
      </w:r>
    </w:p>
    <w:p w:rsidR="0085716E" w:rsidRDefault="0085716E" w:rsidP="0085143B">
      <w:pPr>
        <w:numPr>
          <w:ilvl w:val="2"/>
          <w:numId w:val="5"/>
        </w:numPr>
        <w:ind w:left="1080"/>
      </w:pPr>
      <w:r>
        <w:t>Gastrointestinal haemorrhage</w:t>
      </w:r>
    </w:p>
    <w:p w:rsidR="0085716E" w:rsidRDefault="0085716E" w:rsidP="0085143B">
      <w:pPr>
        <w:numPr>
          <w:ilvl w:val="2"/>
          <w:numId w:val="5"/>
        </w:numPr>
        <w:ind w:left="1080"/>
      </w:pPr>
      <w:r>
        <w:t>Paediatrics</w:t>
      </w:r>
    </w:p>
    <w:p w:rsidR="0085716E" w:rsidRDefault="0085716E" w:rsidP="00BF7411"/>
    <w:p w:rsidR="0085716E" w:rsidRDefault="0085716E" w:rsidP="00BF7411">
      <w:pPr>
        <w:ind w:left="540"/>
      </w:pPr>
      <w:r>
        <w:t>Examples of guidance on these subgroups / specialities are covered in Appendix 1 of this document.</w:t>
      </w:r>
    </w:p>
    <w:p w:rsidR="0085716E" w:rsidRDefault="0085716E" w:rsidP="00BF7411"/>
    <w:p w:rsidR="0085716E" w:rsidRDefault="0085716E" w:rsidP="00BF7411">
      <w:pPr>
        <w:ind w:left="900"/>
      </w:pPr>
    </w:p>
    <w:p w:rsidR="0085716E" w:rsidRDefault="0085716E" w:rsidP="00BF7411">
      <w:pPr>
        <w:ind w:left="540"/>
      </w:pPr>
      <w:r w:rsidRPr="001E4684">
        <w:t>There is a paucity of good randomised controlled t</w:t>
      </w:r>
      <w:r>
        <w:t>rials on which to base recommendations</w:t>
      </w:r>
      <w:r w:rsidRPr="001E4684">
        <w:t xml:space="preserve"> – most publications contribute Level III or Level IV evidence.</w:t>
      </w:r>
      <w:r>
        <w:t xml:space="preserve">  The evidence for use of major haemorrhage packs (i.e. early empirical use of fresh frozen plasma and platelets) comes mainly from retrospective studies in major </w:t>
      </w:r>
      <w:r w:rsidRPr="00346CB8">
        <w:t>trauma (military and civilian) and major vascular surgery (particularly ruptured aortic aneurysm</w:t>
      </w:r>
      <w:r>
        <w:rPr>
          <w:vertAlign w:val="superscript"/>
        </w:rPr>
        <w:t>8</w:t>
      </w:r>
      <w:r w:rsidRPr="00346CB8">
        <w:t>).</w:t>
      </w:r>
      <w:r>
        <w:t xml:space="preserve">  The use of such packs has been extended in this toolkit for use in other situations of life threatening haemorrhage in the absence of definitive evidence, but should be used with caution. The following table sets out some of the pros and cons of formula driven care:</w:t>
      </w:r>
    </w:p>
    <w:p w:rsidR="0085716E" w:rsidRDefault="0085716E" w:rsidP="00BF7411">
      <w:pPr>
        <w:ind w:left="5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7"/>
      </w:tblGrid>
      <w:tr w:rsidR="0085716E" w:rsidTr="001A5C0C">
        <w:tc>
          <w:tcPr>
            <w:tcW w:w="9216" w:type="dxa"/>
            <w:gridSpan w:val="2"/>
          </w:tcPr>
          <w:p w:rsidR="0085716E" w:rsidRPr="00AC3494" w:rsidRDefault="0085716E" w:rsidP="001A5C0C">
            <w:pPr>
              <w:jc w:val="center"/>
            </w:pPr>
            <w:r>
              <w:t>Pros and Cons of Formula D</w:t>
            </w:r>
            <w:r w:rsidRPr="00AC3494">
              <w:t xml:space="preserve">riven </w:t>
            </w:r>
            <w:r>
              <w:t>Major</w:t>
            </w:r>
            <w:r w:rsidRPr="00AC3494">
              <w:t xml:space="preserve"> Transfusion Protocols</w:t>
            </w:r>
          </w:p>
          <w:p w:rsidR="0085716E" w:rsidRDefault="0085716E" w:rsidP="001A5C0C"/>
        </w:tc>
      </w:tr>
      <w:tr w:rsidR="0085716E" w:rsidTr="001A5C0C">
        <w:tc>
          <w:tcPr>
            <w:tcW w:w="4608" w:type="dxa"/>
          </w:tcPr>
          <w:p w:rsidR="0085716E" w:rsidRPr="005F2110" w:rsidRDefault="0085716E" w:rsidP="001A5C0C">
            <w:r w:rsidRPr="005F2110">
              <w:t>Pros</w:t>
            </w:r>
          </w:p>
          <w:p w:rsidR="0085716E" w:rsidRPr="005F2110" w:rsidRDefault="0085716E" w:rsidP="001A5C0C">
            <w:pPr>
              <w:numPr>
                <w:ilvl w:val="0"/>
                <w:numId w:val="7"/>
              </w:numPr>
            </w:pPr>
            <w:r w:rsidRPr="005F2110">
              <w:t>Reduce mortality from bleeding</w:t>
            </w:r>
          </w:p>
          <w:p w:rsidR="0085716E" w:rsidRPr="005F2110" w:rsidRDefault="0085716E" w:rsidP="001A5C0C">
            <w:pPr>
              <w:numPr>
                <w:ilvl w:val="0"/>
                <w:numId w:val="7"/>
              </w:numPr>
            </w:pPr>
            <w:r w:rsidRPr="005F2110">
              <w:t>Improve speed of delivery of blood components</w:t>
            </w:r>
          </w:p>
          <w:p w:rsidR="0085716E" w:rsidRPr="005F2110" w:rsidRDefault="0085716E" w:rsidP="001A5C0C">
            <w:pPr>
              <w:numPr>
                <w:ilvl w:val="0"/>
                <w:numId w:val="7"/>
              </w:numPr>
            </w:pPr>
            <w:r w:rsidRPr="005F2110">
              <w:t>Decrease need for communications back and forth between clinical area and lab</w:t>
            </w:r>
          </w:p>
          <w:p w:rsidR="0085716E" w:rsidRPr="005F2110" w:rsidRDefault="0085716E" w:rsidP="001A5C0C">
            <w:pPr>
              <w:numPr>
                <w:ilvl w:val="0"/>
                <w:numId w:val="7"/>
              </w:numPr>
            </w:pPr>
            <w:r w:rsidRPr="005F2110">
              <w:t>Prevent onset of coagulopathy</w:t>
            </w:r>
          </w:p>
          <w:p w:rsidR="0085716E" w:rsidRPr="005F2110" w:rsidRDefault="0085716E" w:rsidP="001A5C0C">
            <w:pPr>
              <w:numPr>
                <w:ilvl w:val="0"/>
                <w:numId w:val="7"/>
              </w:numPr>
            </w:pPr>
            <w:r w:rsidRPr="005F2110">
              <w:t>Reduce dependency on lab testing in acute resuscitation phase</w:t>
            </w:r>
          </w:p>
          <w:p w:rsidR="0085716E" w:rsidRDefault="0085716E" w:rsidP="001A5C0C"/>
        </w:tc>
        <w:tc>
          <w:tcPr>
            <w:tcW w:w="4608" w:type="dxa"/>
          </w:tcPr>
          <w:p w:rsidR="0085716E" w:rsidRPr="005F2110" w:rsidRDefault="0085716E" w:rsidP="001A5C0C">
            <w:r w:rsidRPr="005F2110">
              <w:t>Cons</w:t>
            </w:r>
          </w:p>
          <w:p w:rsidR="0085716E" w:rsidRPr="005F2110" w:rsidRDefault="0085716E" w:rsidP="001A5C0C">
            <w:pPr>
              <w:numPr>
                <w:ilvl w:val="0"/>
                <w:numId w:val="8"/>
              </w:numPr>
            </w:pPr>
            <w:r w:rsidRPr="005F2110">
              <w:t>Based on level III and IV evidence mainly in major trauma</w:t>
            </w:r>
          </w:p>
          <w:p w:rsidR="0085716E" w:rsidRPr="005F2110" w:rsidRDefault="0085716E" w:rsidP="001A5C0C">
            <w:pPr>
              <w:numPr>
                <w:ilvl w:val="0"/>
                <w:numId w:val="8"/>
              </w:numPr>
            </w:pPr>
            <w:r w:rsidRPr="005F2110">
              <w:t>Exposure to additional units of FFP and platelets will increase risk of complications such as TRALI, organ failure, thrombosis and sepsis</w:t>
            </w:r>
          </w:p>
          <w:p w:rsidR="0085716E" w:rsidRPr="005F2110" w:rsidRDefault="0085716E" w:rsidP="001A5C0C">
            <w:pPr>
              <w:numPr>
                <w:ilvl w:val="0"/>
                <w:numId w:val="8"/>
              </w:numPr>
            </w:pPr>
            <w:r w:rsidRPr="005F2110">
              <w:t xml:space="preserve">Inappropriate triggering of use of formula driven care in non </w:t>
            </w:r>
            <w:r>
              <w:t>major</w:t>
            </w:r>
            <w:r w:rsidRPr="005F2110">
              <w:t xml:space="preserve"> transfusion patients</w:t>
            </w:r>
          </w:p>
          <w:p w:rsidR="0085716E" w:rsidRPr="005F2110" w:rsidRDefault="0085716E" w:rsidP="001A5C0C">
            <w:pPr>
              <w:numPr>
                <w:ilvl w:val="0"/>
                <w:numId w:val="8"/>
              </w:numPr>
            </w:pPr>
            <w:r w:rsidRPr="005F2110">
              <w:t>Increased wastage of FFP and platelets</w:t>
            </w:r>
          </w:p>
          <w:p w:rsidR="0085716E" w:rsidRPr="005F2110" w:rsidRDefault="0085716E" w:rsidP="001A5C0C">
            <w:pPr>
              <w:numPr>
                <w:ilvl w:val="0"/>
                <w:numId w:val="8"/>
              </w:numPr>
            </w:pPr>
            <w:r w:rsidRPr="005F2110">
              <w:t>Depletion of platelet and plasma stocks</w:t>
            </w:r>
          </w:p>
          <w:p w:rsidR="0085716E" w:rsidRDefault="0085716E" w:rsidP="001A5C0C"/>
        </w:tc>
      </w:tr>
    </w:tbl>
    <w:p w:rsidR="0085716E" w:rsidRDefault="0085716E" w:rsidP="00BF7411">
      <w:pPr>
        <w:ind w:left="540"/>
      </w:pPr>
    </w:p>
    <w:p w:rsidR="0085716E" w:rsidRPr="008E4215" w:rsidRDefault="0085716E" w:rsidP="00BF7411">
      <w:pPr>
        <w:ind w:left="540"/>
      </w:pPr>
      <w:r>
        <w:t xml:space="preserve">The toolkit does not advocate the availability of thawed AB FFP and A platelets on standby but rapid requesting and provision once the blood group for the patient is known.  Trusts will need to make an individual risk assessment according to the frequency of major haemorrhage episodes, and the distance from the blood centre (for the platelet supply).  There have been recent shortages of AB FFP reported by NHSBT so this scarce resource must be managed responsibly. </w:t>
      </w:r>
    </w:p>
    <w:p w:rsidR="0085716E" w:rsidRDefault="0085716E" w:rsidP="00BF7411">
      <w:pPr>
        <w:ind w:left="540"/>
      </w:pPr>
    </w:p>
    <w:p w:rsidR="0085716E" w:rsidRDefault="0085716E" w:rsidP="0085143B">
      <w:pPr>
        <w:numPr>
          <w:ilvl w:val="1"/>
          <w:numId w:val="5"/>
        </w:numPr>
        <w:tabs>
          <w:tab w:val="left" w:pos="540"/>
        </w:tabs>
        <w:ind w:left="540" w:hanging="540"/>
      </w:pPr>
      <w:r>
        <w:t xml:space="preserve">The stakeholders also considered the central theme of communication, which is at the heart of the effective management of major haemorrhage.  The group have developed Seven Steps for Successful Coordination in major haemorrhage (see section 7), which can be adapted for local use. </w:t>
      </w:r>
    </w:p>
    <w:p w:rsidR="0085716E" w:rsidRDefault="0085716E" w:rsidP="00BF7411"/>
    <w:p w:rsidR="0085716E" w:rsidRDefault="0085716E" w:rsidP="00BF7411"/>
    <w:p w:rsidR="0085716E" w:rsidRPr="00414910" w:rsidRDefault="0085716E" w:rsidP="00164DD0">
      <w:pPr>
        <w:rPr>
          <w:b/>
          <w:sz w:val="28"/>
          <w:szCs w:val="28"/>
        </w:rPr>
      </w:pPr>
      <w:r>
        <w:rPr>
          <w:b/>
          <w:sz w:val="28"/>
          <w:szCs w:val="28"/>
        </w:rPr>
        <w:t xml:space="preserve">10. </w:t>
      </w:r>
      <w:r w:rsidRPr="00414910">
        <w:rPr>
          <w:b/>
          <w:sz w:val="28"/>
          <w:szCs w:val="28"/>
        </w:rPr>
        <w:t>Who is the toolkit for?</w:t>
      </w:r>
    </w:p>
    <w:p w:rsidR="0085716E" w:rsidRDefault="0085716E" w:rsidP="00BF7411">
      <w:r>
        <w:t>The toolkit has been produced for hospital transfusion teams and committees.  It is hoped that the algorithm can be used as a template for production of a flow chart for each Trust that will compliment the Trust guideline(s) for management of major haemorrhage.</w:t>
      </w:r>
    </w:p>
    <w:p w:rsidR="0085716E" w:rsidRDefault="0085716E" w:rsidP="00BF7411">
      <w:pPr>
        <w:rPr>
          <w:b/>
        </w:rPr>
      </w:pPr>
    </w:p>
    <w:p w:rsidR="0085716E" w:rsidRDefault="0085716E" w:rsidP="00BF7411">
      <w:r>
        <w:t>The transfusion management algorithm is aimed at:</w:t>
      </w:r>
    </w:p>
    <w:p w:rsidR="0085716E" w:rsidRDefault="0085716E" w:rsidP="00BF7411">
      <w:r>
        <w:t xml:space="preserve"> </w:t>
      </w:r>
    </w:p>
    <w:p w:rsidR="0085716E" w:rsidRDefault="0085716E" w:rsidP="00BF7411">
      <w:pPr>
        <w:numPr>
          <w:ilvl w:val="0"/>
          <w:numId w:val="9"/>
        </w:numPr>
      </w:pPr>
      <w:r>
        <w:t>The junior doctor / senior nurse who may be the first person to see the patient and must be able to recognise the early stages of major haemorrhage and know when and who to call for support</w:t>
      </w:r>
    </w:p>
    <w:p w:rsidR="0085716E" w:rsidRDefault="0085716E" w:rsidP="00BF7411">
      <w:pPr>
        <w:numPr>
          <w:ilvl w:val="0"/>
          <w:numId w:val="9"/>
        </w:numPr>
      </w:pPr>
      <w:r>
        <w:t>The senior staff called as part of the emergency response team</w:t>
      </w:r>
    </w:p>
    <w:p w:rsidR="0085716E" w:rsidRDefault="0085716E" w:rsidP="00BF7411">
      <w:pPr>
        <w:numPr>
          <w:ilvl w:val="0"/>
          <w:numId w:val="9"/>
        </w:numPr>
      </w:pPr>
      <w:r>
        <w:t>The laboratory staff and supporting services (eg portering services)</w:t>
      </w:r>
    </w:p>
    <w:p w:rsidR="0085716E" w:rsidRPr="002747E4" w:rsidRDefault="0085716E" w:rsidP="00BF7411">
      <w:pPr>
        <w:ind w:left="360"/>
      </w:pPr>
    </w:p>
    <w:p w:rsidR="0085716E" w:rsidRDefault="0085716E" w:rsidP="00BF7411"/>
    <w:p w:rsidR="0085716E" w:rsidRPr="00414910" w:rsidRDefault="0085716E" w:rsidP="00164DD0">
      <w:pPr>
        <w:rPr>
          <w:b/>
          <w:sz w:val="28"/>
          <w:szCs w:val="28"/>
        </w:rPr>
      </w:pPr>
      <w:r>
        <w:rPr>
          <w:b/>
          <w:sz w:val="28"/>
          <w:szCs w:val="28"/>
        </w:rPr>
        <w:t xml:space="preserve">11. </w:t>
      </w:r>
      <w:r w:rsidRPr="00414910">
        <w:rPr>
          <w:b/>
          <w:sz w:val="28"/>
          <w:szCs w:val="28"/>
        </w:rPr>
        <w:t>Monitoring the management of ma</w:t>
      </w:r>
      <w:r>
        <w:rPr>
          <w:b/>
          <w:sz w:val="28"/>
          <w:szCs w:val="28"/>
        </w:rPr>
        <w:t>jor</w:t>
      </w:r>
      <w:r w:rsidRPr="00414910">
        <w:rPr>
          <w:b/>
          <w:sz w:val="28"/>
          <w:szCs w:val="28"/>
        </w:rPr>
        <w:t xml:space="preserve"> haemorrhage</w:t>
      </w:r>
    </w:p>
    <w:p w:rsidR="0085716E" w:rsidRDefault="0085716E" w:rsidP="00BF7411">
      <w:r>
        <w:t>The key stakeholders will continue to oversee the implementation of the toolkit by commissioning regional audit of the process and development of an audit proforma (see section 12) that can be used locally in Trusts.  The following Key Performance Indicators have been developed:</w:t>
      </w:r>
    </w:p>
    <w:p w:rsidR="0085716E" w:rsidRDefault="0085716E" w:rsidP="00BF7411"/>
    <w:p w:rsidR="0085716E" w:rsidRDefault="0085716E" w:rsidP="00833103">
      <w:pPr>
        <w:pStyle w:val="BodyText"/>
        <w:numPr>
          <w:ilvl w:val="0"/>
          <w:numId w:val="34"/>
        </w:numPr>
        <w:rPr>
          <w:sz w:val="20"/>
          <w:szCs w:val="20"/>
        </w:rPr>
      </w:pPr>
      <w:r>
        <w:rPr>
          <w:sz w:val="20"/>
          <w:szCs w:val="20"/>
        </w:rPr>
        <w:t>Number of cases receving 2 units or fewer of emergency O red cells (denominator = those transfused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&lt;5%</w:t>
      </w:r>
    </w:p>
    <w:p w:rsidR="0085716E" w:rsidRDefault="0085716E" w:rsidP="00833103">
      <w:pPr>
        <w:pStyle w:val="BodyText"/>
        <w:numPr>
          <w:ilvl w:val="0"/>
          <w:numId w:val="34"/>
        </w:numPr>
        <w:rPr>
          <w:sz w:val="20"/>
          <w:szCs w:val="20"/>
        </w:rPr>
      </w:pPr>
      <w:r>
        <w:rPr>
          <w:sz w:val="20"/>
          <w:szCs w:val="20"/>
        </w:rPr>
        <w:t>FFP wastage due to mismanagement</w:t>
      </w:r>
      <w:r>
        <w:rPr>
          <w:sz w:val="20"/>
          <w:szCs w:val="20"/>
        </w:rPr>
        <w:tab/>
      </w:r>
      <w:r>
        <w:rPr>
          <w:sz w:val="20"/>
          <w:szCs w:val="20"/>
        </w:rPr>
        <w:tab/>
      </w:r>
      <w:r>
        <w:rPr>
          <w:sz w:val="20"/>
          <w:szCs w:val="20"/>
        </w:rPr>
        <w:tab/>
      </w:r>
      <w:r>
        <w:rPr>
          <w:sz w:val="20"/>
          <w:szCs w:val="20"/>
        </w:rPr>
        <w:tab/>
      </w:r>
      <w:r>
        <w:rPr>
          <w:sz w:val="20"/>
          <w:szCs w:val="20"/>
        </w:rPr>
        <w:tab/>
      </w:r>
      <w:r>
        <w:rPr>
          <w:sz w:val="20"/>
          <w:szCs w:val="20"/>
        </w:rPr>
        <w:tab/>
        <w:t>0%</w:t>
      </w:r>
    </w:p>
    <w:p w:rsidR="0085716E" w:rsidRDefault="0085716E" w:rsidP="00833103">
      <w:pPr>
        <w:pStyle w:val="BodyText"/>
        <w:numPr>
          <w:ilvl w:val="0"/>
          <w:numId w:val="34"/>
        </w:numPr>
        <w:rPr>
          <w:sz w:val="20"/>
          <w:szCs w:val="20"/>
        </w:rPr>
      </w:pPr>
      <w:r>
        <w:rPr>
          <w:sz w:val="20"/>
          <w:szCs w:val="20"/>
        </w:rPr>
        <w:t>Platelet wastage due to mismanagement</w:t>
      </w:r>
      <w:r>
        <w:rPr>
          <w:sz w:val="20"/>
          <w:szCs w:val="20"/>
        </w:rPr>
        <w:tab/>
      </w:r>
      <w:r>
        <w:rPr>
          <w:sz w:val="20"/>
          <w:szCs w:val="20"/>
        </w:rPr>
        <w:tab/>
      </w:r>
      <w:r>
        <w:rPr>
          <w:sz w:val="20"/>
          <w:szCs w:val="20"/>
        </w:rPr>
        <w:tab/>
      </w:r>
      <w:r>
        <w:rPr>
          <w:sz w:val="20"/>
          <w:szCs w:val="20"/>
        </w:rPr>
        <w:tab/>
      </w:r>
      <w:r>
        <w:rPr>
          <w:sz w:val="20"/>
          <w:szCs w:val="20"/>
        </w:rPr>
        <w:tab/>
      </w:r>
      <w:r>
        <w:rPr>
          <w:sz w:val="20"/>
          <w:szCs w:val="20"/>
        </w:rPr>
        <w:tab/>
        <w:t>0%</w:t>
      </w:r>
    </w:p>
    <w:p w:rsidR="0085716E" w:rsidRDefault="0085716E" w:rsidP="00833103">
      <w:pPr>
        <w:pStyle w:val="BodyText"/>
        <w:numPr>
          <w:ilvl w:val="0"/>
          <w:numId w:val="34"/>
        </w:numPr>
        <w:rPr>
          <w:sz w:val="20"/>
          <w:szCs w:val="20"/>
        </w:rPr>
      </w:pPr>
      <w:r>
        <w:rPr>
          <w:sz w:val="20"/>
          <w:szCs w:val="20"/>
        </w:rPr>
        <w:t>Red cell wastage due to mismanagement</w:t>
      </w:r>
      <w:r>
        <w:rPr>
          <w:sz w:val="20"/>
          <w:szCs w:val="20"/>
        </w:rPr>
        <w:tab/>
      </w:r>
      <w:r>
        <w:rPr>
          <w:sz w:val="20"/>
          <w:szCs w:val="20"/>
        </w:rPr>
        <w:tab/>
      </w:r>
      <w:r>
        <w:rPr>
          <w:sz w:val="20"/>
          <w:szCs w:val="20"/>
        </w:rPr>
        <w:tab/>
      </w:r>
      <w:r>
        <w:rPr>
          <w:sz w:val="20"/>
          <w:szCs w:val="20"/>
        </w:rPr>
        <w:tab/>
      </w:r>
      <w:r>
        <w:rPr>
          <w:sz w:val="20"/>
          <w:szCs w:val="20"/>
        </w:rPr>
        <w:tab/>
      </w:r>
      <w:r>
        <w:rPr>
          <w:sz w:val="20"/>
          <w:szCs w:val="20"/>
        </w:rPr>
        <w:tab/>
        <w:t>0%</w:t>
      </w:r>
    </w:p>
    <w:p w:rsidR="0085716E" w:rsidRDefault="0085716E" w:rsidP="00833103">
      <w:pPr>
        <w:pStyle w:val="BodyText"/>
        <w:numPr>
          <w:ilvl w:val="0"/>
          <w:numId w:val="34"/>
        </w:numPr>
        <w:rPr>
          <w:sz w:val="20"/>
          <w:szCs w:val="20"/>
        </w:rPr>
      </w:pPr>
      <w:r>
        <w:rPr>
          <w:sz w:val="20"/>
          <w:szCs w:val="20"/>
        </w:rPr>
        <w:t>Emergency O red cell wastage due to mismanagement</w:t>
      </w:r>
      <w:r>
        <w:rPr>
          <w:sz w:val="20"/>
          <w:szCs w:val="20"/>
        </w:rPr>
        <w:tab/>
      </w:r>
      <w:r>
        <w:rPr>
          <w:sz w:val="20"/>
          <w:szCs w:val="20"/>
        </w:rPr>
        <w:tab/>
      </w:r>
      <w:r>
        <w:rPr>
          <w:sz w:val="20"/>
          <w:szCs w:val="20"/>
        </w:rPr>
        <w:tab/>
      </w:r>
      <w:r>
        <w:rPr>
          <w:sz w:val="20"/>
          <w:szCs w:val="20"/>
        </w:rPr>
        <w:tab/>
        <w:t>0%</w:t>
      </w:r>
    </w:p>
    <w:p w:rsidR="0085716E" w:rsidRDefault="0085716E" w:rsidP="00833103">
      <w:pPr>
        <w:pStyle w:val="BodyText"/>
        <w:numPr>
          <w:ilvl w:val="0"/>
          <w:numId w:val="34"/>
        </w:numPr>
        <w:rPr>
          <w:sz w:val="20"/>
          <w:szCs w:val="20"/>
        </w:rPr>
      </w:pPr>
      <w:r>
        <w:rPr>
          <w:sz w:val="20"/>
          <w:szCs w:val="20"/>
        </w:rPr>
        <w:t>Number of cases of rAAA with open surgical repair where cell salvage commenced</w:t>
      </w:r>
      <w:r>
        <w:rPr>
          <w:sz w:val="20"/>
          <w:szCs w:val="20"/>
        </w:rPr>
        <w:tab/>
        <w:t>&gt;80%</w:t>
      </w:r>
    </w:p>
    <w:p w:rsidR="0085716E" w:rsidRDefault="0085716E" w:rsidP="00833103">
      <w:pPr>
        <w:pStyle w:val="BodyText"/>
        <w:numPr>
          <w:ilvl w:val="0"/>
          <w:numId w:val="34"/>
        </w:numPr>
        <w:rPr>
          <w:sz w:val="20"/>
          <w:szCs w:val="20"/>
        </w:rPr>
      </w:pPr>
      <w:r>
        <w:rPr>
          <w:sz w:val="20"/>
          <w:szCs w:val="20"/>
        </w:rPr>
        <w:t xml:space="preserve">Number of obstetric cases with caesarean section where cell salvage commenced   </w:t>
      </w:r>
      <w:r>
        <w:rPr>
          <w:sz w:val="20"/>
          <w:szCs w:val="20"/>
        </w:rPr>
        <w:tab/>
        <w:t>&gt;80%</w:t>
      </w:r>
    </w:p>
    <w:p w:rsidR="0085716E" w:rsidRDefault="0085716E" w:rsidP="00833103">
      <w:pPr>
        <w:pStyle w:val="BodyText"/>
        <w:numPr>
          <w:ilvl w:val="0"/>
          <w:numId w:val="34"/>
        </w:numPr>
        <w:rPr>
          <w:sz w:val="20"/>
          <w:szCs w:val="20"/>
        </w:rPr>
      </w:pPr>
      <w:r>
        <w:rPr>
          <w:sz w:val="20"/>
          <w:szCs w:val="20"/>
        </w:rPr>
        <w:t>Baseline Hb</w:t>
      </w:r>
      <w:r>
        <w:rPr>
          <w:sz w:val="20"/>
          <w:szCs w:val="20"/>
        </w:rPr>
        <w:tab/>
        <w:t xml:space="preserve"> within 4 hours of activation</w:t>
      </w:r>
      <w:r>
        <w:rPr>
          <w:sz w:val="20"/>
          <w:szCs w:val="20"/>
        </w:rPr>
        <w:tab/>
      </w:r>
      <w:r>
        <w:rPr>
          <w:sz w:val="20"/>
          <w:szCs w:val="20"/>
        </w:rPr>
        <w:tab/>
      </w:r>
      <w:r>
        <w:rPr>
          <w:sz w:val="20"/>
          <w:szCs w:val="20"/>
        </w:rPr>
        <w:tab/>
      </w:r>
      <w:r>
        <w:rPr>
          <w:sz w:val="20"/>
          <w:szCs w:val="20"/>
        </w:rPr>
        <w:tab/>
      </w:r>
      <w:r>
        <w:rPr>
          <w:sz w:val="20"/>
          <w:szCs w:val="20"/>
        </w:rPr>
        <w:tab/>
      </w:r>
      <w:r>
        <w:rPr>
          <w:sz w:val="20"/>
          <w:szCs w:val="20"/>
        </w:rPr>
        <w:tab/>
        <w:t>100%</w:t>
      </w:r>
    </w:p>
    <w:p w:rsidR="0085716E" w:rsidRDefault="0085716E" w:rsidP="00833103">
      <w:pPr>
        <w:pStyle w:val="BodyText"/>
        <w:numPr>
          <w:ilvl w:val="0"/>
          <w:numId w:val="34"/>
        </w:numPr>
        <w:rPr>
          <w:sz w:val="20"/>
          <w:szCs w:val="20"/>
        </w:rPr>
      </w:pPr>
      <w:r>
        <w:rPr>
          <w:sz w:val="20"/>
          <w:szCs w:val="20"/>
        </w:rPr>
        <w:t>Baseline plt count within 4 hours of activation</w:t>
      </w:r>
      <w:r>
        <w:rPr>
          <w:sz w:val="20"/>
          <w:szCs w:val="20"/>
        </w:rPr>
        <w:tab/>
      </w:r>
      <w:r>
        <w:rPr>
          <w:sz w:val="20"/>
          <w:szCs w:val="20"/>
        </w:rPr>
        <w:tab/>
      </w:r>
      <w:r>
        <w:rPr>
          <w:sz w:val="20"/>
          <w:szCs w:val="20"/>
        </w:rPr>
        <w:tab/>
      </w:r>
      <w:r>
        <w:rPr>
          <w:sz w:val="20"/>
          <w:szCs w:val="20"/>
        </w:rPr>
        <w:tab/>
      </w:r>
      <w:r>
        <w:rPr>
          <w:sz w:val="20"/>
          <w:szCs w:val="20"/>
        </w:rPr>
        <w:tab/>
        <w:t>100%</w:t>
      </w:r>
    </w:p>
    <w:p w:rsidR="0085716E" w:rsidRDefault="0085716E" w:rsidP="00833103">
      <w:pPr>
        <w:pStyle w:val="BodyText"/>
        <w:numPr>
          <w:ilvl w:val="0"/>
          <w:numId w:val="34"/>
        </w:numPr>
        <w:rPr>
          <w:sz w:val="20"/>
          <w:szCs w:val="20"/>
        </w:rPr>
      </w:pPr>
      <w:r>
        <w:rPr>
          <w:sz w:val="20"/>
          <w:szCs w:val="20"/>
        </w:rPr>
        <w:t>Baseline PT &amp; APTT within 4 hours of activation</w:t>
      </w:r>
      <w:r>
        <w:rPr>
          <w:sz w:val="20"/>
          <w:szCs w:val="20"/>
        </w:rPr>
        <w:tab/>
      </w:r>
      <w:r>
        <w:rPr>
          <w:sz w:val="20"/>
          <w:szCs w:val="20"/>
        </w:rPr>
        <w:tab/>
      </w:r>
      <w:r>
        <w:rPr>
          <w:sz w:val="20"/>
          <w:szCs w:val="20"/>
        </w:rPr>
        <w:tab/>
      </w:r>
      <w:r>
        <w:rPr>
          <w:sz w:val="20"/>
          <w:szCs w:val="20"/>
        </w:rPr>
        <w:tab/>
      </w:r>
      <w:r>
        <w:rPr>
          <w:sz w:val="20"/>
          <w:szCs w:val="20"/>
        </w:rPr>
        <w:tab/>
        <w:t>100%</w:t>
      </w:r>
    </w:p>
    <w:p w:rsidR="0085716E" w:rsidRDefault="0085716E" w:rsidP="00833103">
      <w:pPr>
        <w:pStyle w:val="BodyText"/>
        <w:numPr>
          <w:ilvl w:val="0"/>
          <w:numId w:val="34"/>
        </w:numPr>
        <w:rPr>
          <w:sz w:val="20"/>
          <w:szCs w:val="20"/>
        </w:rPr>
      </w:pPr>
      <w:r>
        <w:rPr>
          <w:sz w:val="20"/>
          <w:szCs w:val="20"/>
        </w:rPr>
        <w:t>Baseline Clauss fibrinogen within 4 hours of activation</w:t>
      </w:r>
      <w:r>
        <w:rPr>
          <w:sz w:val="20"/>
          <w:szCs w:val="20"/>
        </w:rPr>
        <w:tab/>
      </w:r>
      <w:r>
        <w:rPr>
          <w:sz w:val="20"/>
          <w:szCs w:val="20"/>
        </w:rPr>
        <w:tab/>
      </w:r>
      <w:r>
        <w:rPr>
          <w:sz w:val="20"/>
          <w:szCs w:val="20"/>
        </w:rPr>
        <w:tab/>
      </w:r>
      <w:r>
        <w:rPr>
          <w:sz w:val="20"/>
          <w:szCs w:val="20"/>
        </w:rPr>
        <w:tab/>
        <w:t>100%</w:t>
      </w:r>
    </w:p>
    <w:p w:rsidR="0085716E" w:rsidRDefault="0085716E" w:rsidP="00833103">
      <w:pPr>
        <w:pStyle w:val="BodyText"/>
        <w:numPr>
          <w:ilvl w:val="0"/>
          <w:numId w:val="34"/>
        </w:numPr>
        <w:rPr>
          <w:sz w:val="20"/>
          <w:szCs w:val="20"/>
        </w:rPr>
      </w:pPr>
      <w:r>
        <w:rPr>
          <w:sz w:val="20"/>
          <w:szCs w:val="20"/>
        </w:rPr>
        <w:t xml:space="preserve">Was TEG used? </w:t>
      </w:r>
    </w:p>
    <w:p w:rsidR="0085716E" w:rsidRDefault="0085716E" w:rsidP="00833103">
      <w:pPr>
        <w:pStyle w:val="BodyText"/>
        <w:numPr>
          <w:ilvl w:val="0"/>
          <w:numId w:val="34"/>
        </w:numPr>
        <w:rPr>
          <w:sz w:val="20"/>
          <w:szCs w:val="20"/>
        </w:rPr>
      </w:pPr>
      <w:r>
        <w:rPr>
          <w:sz w:val="20"/>
          <w:szCs w:val="20"/>
        </w:rPr>
        <w:t>Was TXA used?</w:t>
      </w:r>
    </w:p>
    <w:p w:rsidR="0085716E" w:rsidRDefault="0085716E" w:rsidP="00833103">
      <w:pPr>
        <w:pStyle w:val="BodyText"/>
        <w:numPr>
          <w:ilvl w:val="0"/>
          <w:numId w:val="34"/>
        </w:numPr>
        <w:rPr>
          <w:sz w:val="20"/>
          <w:szCs w:val="20"/>
        </w:rPr>
      </w:pPr>
      <w:r>
        <w:rPr>
          <w:sz w:val="20"/>
          <w:szCs w:val="20"/>
        </w:rPr>
        <w:t>Was TXA given (trauma calls)?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100%</w:t>
      </w:r>
    </w:p>
    <w:p w:rsidR="0085716E" w:rsidRDefault="0085716E" w:rsidP="00833103">
      <w:pPr>
        <w:pStyle w:val="BodyText"/>
        <w:numPr>
          <w:ilvl w:val="0"/>
          <w:numId w:val="34"/>
        </w:numPr>
        <w:rPr>
          <w:sz w:val="20"/>
          <w:szCs w:val="20"/>
        </w:rPr>
      </w:pPr>
      <w:r>
        <w:rPr>
          <w:sz w:val="20"/>
          <w:szCs w:val="20"/>
        </w:rPr>
        <w:t xml:space="preserve">Time from activation to grouped red cells being ready for dispatch                                         </w:t>
      </w:r>
    </w:p>
    <w:p w:rsidR="0085716E" w:rsidRDefault="0085716E" w:rsidP="00833103">
      <w:pPr>
        <w:pStyle w:val="BodyText"/>
        <w:numPr>
          <w:ilvl w:val="0"/>
          <w:numId w:val="34"/>
        </w:numPr>
        <w:rPr>
          <w:sz w:val="20"/>
          <w:szCs w:val="20"/>
        </w:rPr>
      </w:pPr>
      <w:r>
        <w:rPr>
          <w:sz w:val="20"/>
          <w:szCs w:val="20"/>
        </w:rPr>
        <w:t xml:space="preserve">Time from activation to fresh frozen plasma being ready for dispatch                                          </w:t>
      </w:r>
    </w:p>
    <w:p w:rsidR="0085716E" w:rsidRDefault="0085716E" w:rsidP="00833103">
      <w:pPr>
        <w:pStyle w:val="BodyText"/>
        <w:numPr>
          <w:ilvl w:val="0"/>
          <w:numId w:val="34"/>
        </w:numPr>
        <w:rPr>
          <w:sz w:val="20"/>
          <w:szCs w:val="20"/>
        </w:rPr>
      </w:pPr>
      <w:r>
        <w:rPr>
          <w:sz w:val="20"/>
          <w:szCs w:val="20"/>
        </w:rPr>
        <w:t>Cases receiving rFVIIa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&lt;2%</w:t>
      </w:r>
    </w:p>
    <w:p w:rsidR="0085716E" w:rsidRDefault="0085716E" w:rsidP="00833103">
      <w:pPr>
        <w:pStyle w:val="BodyText"/>
        <w:numPr>
          <w:ilvl w:val="0"/>
          <w:numId w:val="34"/>
        </w:numPr>
        <w:rPr>
          <w:sz w:val="20"/>
          <w:szCs w:val="20"/>
        </w:rPr>
      </w:pPr>
      <w:r>
        <w:rPr>
          <w:sz w:val="20"/>
          <w:szCs w:val="20"/>
        </w:rPr>
        <w:t>Was lab informed of stand down?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100%</w:t>
      </w:r>
    </w:p>
    <w:p w:rsidR="0085716E" w:rsidRDefault="0085716E" w:rsidP="003E1DC9">
      <w:pPr>
        <w:pStyle w:val="BodyText"/>
      </w:pPr>
    </w:p>
    <w:p w:rsidR="0085716E" w:rsidRDefault="0085716E" w:rsidP="00BF7411"/>
    <w:p w:rsidR="0085716E" w:rsidRPr="00EB1100" w:rsidRDefault="0085716E" w:rsidP="00BF7411">
      <w:pPr>
        <w:rPr>
          <w:rFonts w:cs="Arial"/>
        </w:rPr>
      </w:pPr>
      <w:r w:rsidRPr="0085143B">
        <w:rPr>
          <w:rFonts w:cs="Arial"/>
          <w:b/>
        </w:rPr>
        <w:t xml:space="preserve">Transfusion </w:t>
      </w:r>
      <w:r w:rsidRPr="0085143B">
        <w:rPr>
          <w:rFonts w:cs="Arial"/>
          <w:b/>
          <w:color w:val="1B0FB1"/>
        </w:rPr>
        <w:t>Standard from Major Trauma Service Specification</w:t>
      </w:r>
      <w:r w:rsidRPr="00EB1100">
        <w:rPr>
          <w:rFonts w:cs="Arial"/>
        </w:rPr>
        <w:t xml:space="preserve"> </w:t>
      </w:r>
    </w:p>
    <w:p w:rsidR="0085716E" w:rsidRPr="0085143B" w:rsidRDefault="0085716E" w:rsidP="0085143B">
      <w:pPr>
        <w:pStyle w:val="BodyText"/>
        <w:ind w:left="284"/>
        <w:rPr>
          <w:b/>
          <w:sz w:val="24"/>
          <w:szCs w:val="24"/>
        </w:rPr>
      </w:pPr>
      <w:r w:rsidRPr="0085143B">
        <w:rPr>
          <w:sz w:val="24"/>
          <w:szCs w:val="24"/>
        </w:rPr>
        <w:t>Appropriate major haemorrhage protocols must be in place in the M</w:t>
      </w:r>
      <w:r>
        <w:rPr>
          <w:sz w:val="24"/>
          <w:szCs w:val="24"/>
        </w:rPr>
        <w:t xml:space="preserve">ajor </w:t>
      </w:r>
      <w:r w:rsidRPr="0085143B">
        <w:rPr>
          <w:sz w:val="24"/>
          <w:szCs w:val="24"/>
        </w:rPr>
        <w:t>T</w:t>
      </w:r>
      <w:r>
        <w:rPr>
          <w:sz w:val="24"/>
          <w:szCs w:val="24"/>
        </w:rPr>
        <w:t xml:space="preserve">rauma </w:t>
      </w:r>
      <w:r w:rsidRPr="0085143B">
        <w:rPr>
          <w:sz w:val="24"/>
          <w:szCs w:val="24"/>
        </w:rPr>
        <w:t>C</w:t>
      </w:r>
      <w:r>
        <w:rPr>
          <w:sz w:val="24"/>
          <w:szCs w:val="24"/>
        </w:rPr>
        <w:t>entre</w:t>
      </w:r>
      <w:r w:rsidRPr="0085143B">
        <w:rPr>
          <w:sz w:val="24"/>
          <w:szCs w:val="24"/>
        </w:rPr>
        <w:t xml:space="preserve"> and across the network Trauma Units. Activations should be regularly audited.  In the Major Trauma centre there should be clinical transfusion leadership and a transfusion specialist is available for advice 24 hours a day. </w:t>
      </w:r>
      <w:r w:rsidRPr="0085143B">
        <w:rPr>
          <w:i/>
          <w:sz w:val="24"/>
          <w:szCs w:val="24"/>
        </w:rPr>
        <w:t>Please supply protocol and audit data</w:t>
      </w:r>
    </w:p>
    <w:p w:rsidR="0085716E" w:rsidRDefault="0085716E" w:rsidP="00BF7411"/>
    <w:p w:rsidR="0085716E" w:rsidRDefault="0085716E" w:rsidP="00BF7411"/>
    <w:p w:rsidR="0085716E" w:rsidRDefault="0085716E" w:rsidP="00BF7411"/>
    <w:p w:rsidR="0085716E" w:rsidRDefault="0085716E" w:rsidP="00BF7411">
      <w:r>
        <w:t>All incidents where there are delays of problems in the provision of blood in an emergency must be reported and investigated locally, and if the patient comes to harm the incident should be reported to the NPSA (or equivalent) and SABRE / SHOT scheme.  The HTC should maintain oversight of the reported incidents and ensure that corrective and preventive actions are put in place.</w:t>
      </w:r>
    </w:p>
    <w:p w:rsidR="0085716E" w:rsidRDefault="0085716E" w:rsidP="00BF7411"/>
    <w:p w:rsidR="0085716E" w:rsidRDefault="0085716E" w:rsidP="006219F5">
      <w:pPr>
        <w:ind w:left="180"/>
        <w:rPr>
          <w:rFonts w:cs="Arial"/>
          <w:b/>
        </w:rPr>
      </w:pPr>
      <w:r>
        <w:rPr>
          <w:rFonts w:cs="Arial"/>
          <w:b/>
        </w:rPr>
        <w:br w:type="page"/>
        <w:t>12. Audit Proforma</w:t>
      </w:r>
    </w:p>
    <w:p w:rsidR="0085716E" w:rsidRDefault="0085716E" w:rsidP="00BF1A64">
      <w:pPr>
        <w:spacing w:after="200" w:line="276" w:lineRule="auto"/>
        <w:rPr>
          <w:rFonts w:ascii="Calibri" w:hAnsi="Calibri"/>
          <w:sz w:val="20"/>
          <w:szCs w:val="20"/>
          <w:u w:val="single"/>
          <w:lang w:eastAsia="en-US"/>
        </w:rPr>
      </w:pPr>
      <w:r w:rsidRPr="00BF1A64">
        <w:rPr>
          <w:rFonts w:ascii="Calibri" w:hAnsi="Calibri"/>
          <w:sz w:val="20"/>
          <w:szCs w:val="20"/>
          <w:u w:val="single"/>
          <w:lang w:eastAsia="en-US"/>
        </w:rPr>
        <w:t>Presentation</w:t>
      </w:r>
    </w:p>
    <w:p w:rsidR="0085716E" w:rsidRPr="00BF1A64" w:rsidRDefault="0085716E" w:rsidP="00BF1A64">
      <w:pPr>
        <w:spacing w:after="200" w:line="276" w:lineRule="auto"/>
        <w:rPr>
          <w:rFonts w:ascii="Calibri" w:hAnsi="Calibri"/>
          <w:sz w:val="20"/>
          <w:szCs w:val="20"/>
          <w:u w:val="single"/>
          <w:lang w:eastAsia="en-US"/>
        </w:rPr>
      </w:pPr>
      <w:r w:rsidRPr="00BF1A64">
        <w:rPr>
          <w:rFonts w:ascii="Calibri" w:hAnsi="Calibri"/>
          <w:sz w:val="20"/>
          <w:szCs w:val="20"/>
          <w:lang w:eastAsia="en-US"/>
        </w:rPr>
        <w:t>Allocated case number………………………………………………………</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Hospital identification number…………………………………………………Date of Birth…………………………………</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Date and Time Haemorrhage (24 hour clock)  hh:mm……………………………………………………………………………</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Elective     /    Emergency</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Location: Emergency Department</w:t>
      </w:r>
      <w:r w:rsidRPr="00BF1A64">
        <w:rPr>
          <w:rFonts w:ascii="Calibri" w:hAnsi="Calibri"/>
          <w:sz w:val="20"/>
          <w:szCs w:val="20"/>
          <w:lang w:eastAsia="en-US"/>
        </w:rPr>
        <w:tab/>
        <w:t>/ Theatre /  Ward  /  Labour ward or theatre / critical care  /  other</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Other: state other location /  if ward state which ward  / if theatre state which theatre</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Was the pathway activated?                Yes     /      No</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Was the laboratory informed?             Yes     /     No</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Grade of person activating:  Consultant  / SpR,ST,middle grade / Specialty doctor /  Foundation doctor / Senior nurse /  Senior midwife  /  Nurse  / Midwife  / Other</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Other: ……………………………………………………………………..</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 xml:space="preserve">Presentation of bleed :     GI upper     /     GI Lower     /     Obstetric – with caesarean  / Obstetric- all others /      Gynae     /     Vascular- aortic aneurysm (open surgical repair)    /    Vascular –other  /   Intraoperative     /    Cardiac     /    Trauma </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Other…………………………………………………………………………………</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Final diagnosis……………………………………………………………………</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Was a trauma call put out?                 Yes     /     No</w:t>
      </w:r>
    </w:p>
    <w:p w:rsidR="0085716E" w:rsidRPr="00BF1A64" w:rsidRDefault="0085716E" w:rsidP="00BF1A64">
      <w:pPr>
        <w:spacing w:after="200" w:line="276" w:lineRule="auto"/>
        <w:rPr>
          <w:rFonts w:ascii="Calibri" w:hAnsi="Calibri"/>
          <w:sz w:val="20"/>
          <w:szCs w:val="20"/>
          <w:u w:val="single"/>
          <w:lang w:eastAsia="en-US"/>
        </w:rPr>
      </w:pPr>
      <w:r w:rsidRPr="00BF1A64">
        <w:rPr>
          <w:rFonts w:ascii="Calibri" w:hAnsi="Calibri"/>
          <w:sz w:val="20"/>
          <w:szCs w:val="20"/>
          <w:u w:val="single"/>
          <w:lang w:eastAsia="en-US"/>
        </w:rPr>
        <w:t>Blood components  used</w:t>
      </w: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0"/>
        <w:gridCol w:w="1950"/>
        <w:gridCol w:w="1950"/>
        <w:gridCol w:w="1951"/>
        <w:gridCol w:w="1951"/>
      </w:tblGrid>
      <w:tr w:rsidR="0085716E" w:rsidRPr="00BF1A64" w:rsidTr="001F206A">
        <w:trPr>
          <w:trHeight w:val="895"/>
        </w:trPr>
        <w:tc>
          <w:tcPr>
            <w:tcW w:w="195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Component</w:t>
            </w:r>
          </w:p>
        </w:tc>
        <w:tc>
          <w:tcPr>
            <w:tcW w:w="195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Number ordered</w:t>
            </w:r>
          </w:p>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(units –mls if paediatric)</w:t>
            </w:r>
          </w:p>
        </w:tc>
        <w:tc>
          <w:tcPr>
            <w:tcW w:w="195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Number transfused</w:t>
            </w:r>
          </w:p>
        </w:tc>
        <w:tc>
          <w:tcPr>
            <w:tcW w:w="1951"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Wastage- Avoidable (state units or mls if paeds)</w:t>
            </w:r>
          </w:p>
        </w:tc>
        <w:tc>
          <w:tcPr>
            <w:tcW w:w="1951"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Wastage- Unavoidable (state units or mls if paeds)</w:t>
            </w:r>
          </w:p>
        </w:tc>
      </w:tr>
      <w:tr w:rsidR="0085716E" w:rsidRPr="00BF1A64" w:rsidTr="001F206A">
        <w:trPr>
          <w:trHeight w:val="460"/>
        </w:trPr>
        <w:tc>
          <w:tcPr>
            <w:tcW w:w="195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Emergency O red cells</w:t>
            </w:r>
          </w:p>
        </w:tc>
        <w:tc>
          <w:tcPr>
            <w:tcW w:w="1950" w:type="dxa"/>
          </w:tcPr>
          <w:p w:rsidR="0085716E" w:rsidRPr="00BF1A64" w:rsidRDefault="0085716E" w:rsidP="00BF1A64">
            <w:pPr>
              <w:rPr>
                <w:rFonts w:ascii="Calibri" w:hAnsi="Calibri"/>
                <w:sz w:val="20"/>
                <w:szCs w:val="20"/>
                <w:lang w:eastAsia="en-US"/>
              </w:rPr>
            </w:pPr>
          </w:p>
        </w:tc>
        <w:tc>
          <w:tcPr>
            <w:tcW w:w="1950"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r>
      <w:tr w:rsidR="0085716E" w:rsidRPr="00BF1A64" w:rsidTr="001F206A">
        <w:trPr>
          <w:trHeight w:val="460"/>
        </w:trPr>
        <w:tc>
          <w:tcPr>
            <w:tcW w:w="195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Other red cells</w:t>
            </w:r>
          </w:p>
        </w:tc>
        <w:tc>
          <w:tcPr>
            <w:tcW w:w="1950" w:type="dxa"/>
          </w:tcPr>
          <w:p w:rsidR="0085716E" w:rsidRPr="00BF1A64" w:rsidRDefault="0085716E" w:rsidP="00BF1A64">
            <w:pPr>
              <w:rPr>
                <w:rFonts w:ascii="Calibri" w:hAnsi="Calibri"/>
                <w:sz w:val="20"/>
                <w:szCs w:val="20"/>
                <w:lang w:eastAsia="en-US"/>
              </w:rPr>
            </w:pPr>
          </w:p>
        </w:tc>
        <w:tc>
          <w:tcPr>
            <w:tcW w:w="1950"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r>
      <w:tr w:rsidR="0085716E" w:rsidRPr="00BF1A64" w:rsidTr="001F206A">
        <w:trPr>
          <w:trHeight w:val="435"/>
        </w:trPr>
        <w:tc>
          <w:tcPr>
            <w:tcW w:w="195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Platelets</w:t>
            </w:r>
          </w:p>
        </w:tc>
        <w:tc>
          <w:tcPr>
            <w:tcW w:w="1950" w:type="dxa"/>
          </w:tcPr>
          <w:p w:rsidR="0085716E" w:rsidRPr="00BF1A64" w:rsidRDefault="0085716E" w:rsidP="00BF1A64">
            <w:pPr>
              <w:rPr>
                <w:rFonts w:ascii="Calibri" w:hAnsi="Calibri"/>
                <w:sz w:val="20"/>
                <w:szCs w:val="20"/>
                <w:lang w:eastAsia="en-US"/>
              </w:rPr>
            </w:pPr>
          </w:p>
        </w:tc>
        <w:tc>
          <w:tcPr>
            <w:tcW w:w="1950"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r>
      <w:tr w:rsidR="0085716E" w:rsidRPr="00BF1A64" w:rsidTr="001F206A">
        <w:trPr>
          <w:trHeight w:val="460"/>
        </w:trPr>
        <w:tc>
          <w:tcPr>
            <w:tcW w:w="195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FFP</w:t>
            </w:r>
          </w:p>
        </w:tc>
        <w:tc>
          <w:tcPr>
            <w:tcW w:w="1950" w:type="dxa"/>
          </w:tcPr>
          <w:p w:rsidR="0085716E" w:rsidRPr="00BF1A64" w:rsidRDefault="0085716E" w:rsidP="00BF1A64">
            <w:pPr>
              <w:rPr>
                <w:rFonts w:ascii="Calibri" w:hAnsi="Calibri"/>
                <w:sz w:val="20"/>
                <w:szCs w:val="20"/>
                <w:lang w:eastAsia="en-US"/>
              </w:rPr>
            </w:pPr>
          </w:p>
        </w:tc>
        <w:tc>
          <w:tcPr>
            <w:tcW w:w="1950"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r>
      <w:tr w:rsidR="0085716E" w:rsidRPr="00BF1A64" w:rsidTr="001F206A">
        <w:trPr>
          <w:trHeight w:val="460"/>
        </w:trPr>
        <w:tc>
          <w:tcPr>
            <w:tcW w:w="195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Cryoprecipitate</w:t>
            </w:r>
          </w:p>
        </w:tc>
        <w:tc>
          <w:tcPr>
            <w:tcW w:w="1950" w:type="dxa"/>
          </w:tcPr>
          <w:p w:rsidR="0085716E" w:rsidRPr="00BF1A64" w:rsidRDefault="0085716E" w:rsidP="00BF1A64">
            <w:pPr>
              <w:rPr>
                <w:rFonts w:ascii="Calibri" w:hAnsi="Calibri"/>
                <w:sz w:val="20"/>
                <w:szCs w:val="20"/>
                <w:lang w:eastAsia="en-US"/>
              </w:rPr>
            </w:pPr>
          </w:p>
        </w:tc>
        <w:tc>
          <w:tcPr>
            <w:tcW w:w="1950"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c>
          <w:tcPr>
            <w:tcW w:w="1951" w:type="dxa"/>
          </w:tcPr>
          <w:p w:rsidR="0085716E" w:rsidRPr="00BF1A64" w:rsidRDefault="0085716E" w:rsidP="00BF1A64">
            <w:pPr>
              <w:rPr>
                <w:rFonts w:ascii="Calibri" w:hAnsi="Calibri"/>
                <w:sz w:val="20"/>
                <w:szCs w:val="20"/>
                <w:lang w:eastAsia="en-US"/>
              </w:rPr>
            </w:pPr>
          </w:p>
        </w:tc>
      </w:tr>
    </w:tbl>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Length of time in hours: minutes from activation to transfusion of Emergency O red cells (if used) (can be a minus time if given before activation) ……………………………………………hh:mm</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Actual time (24 hour clock) that request was logged on lab system ……………………………………………hh:mm</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Length of time in hours: minutes from activation to transfusion of Other red cells(can be a minus time if given before activation)……………………………………………hh:mm</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Actual Time (24 hour clock) that grouped red cells were ready for dispatch to patient on lab system………………hh:m</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Actual Time (24 hour clock) that FFP was ready for dispatch to patient on lab system………………hh:m</w:t>
      </w:r>
    </w:p>
    <w:p w:rsidR="0085716E" w:rsidRPr="00BF1A64" w:rsidRDefault="0085716E" w:rsidP="00BF1A64">
      <w:pPr>
        <w:spacing w:after="200" w:line="276" w:lineRule="auto"/>
        <w:rPr>
          <w:rFonts w:ascii="Calibri" w:hAnsi="Calibri"/>
          <w:sz w:val="20"/>
          <w:szCs w:val="20"/>
          <w:u w:val="single"/>
          <w:lang w:eastAsia="en-US"/>
        </w:rPr>
      </w:pPr>
      <w:r w:rsidRPr="00BF1A64">
        <w:rPr>
          <w:rFonts w:ascii="Calibri" w:hAnsi="Calibri"/>
          <w:sz w:val="20"/>
          <w:szCs w:val="20"/>
          <w:u w:val="single"/>
          <w:lang w:eastAsia="en-US"/>
        </w:rPr>
        <w:t>Cell salvage</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 xml:space="preserve">Was cell salvage used?  Yes/  No   If Yes, volume returned if known …………………….(mls) </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If processed but not returned, record P ……………………</w:t>
      </w:r>
    </w:p>
    <w:p w:rsidR="0085716E" w:rsidRPr="00BF1A64" w:rsidRDefault="0085716E" w:rsidP="00BF1A64">
      <w:pPr>
        <w:spacing w:after="200" w:line="276" w:lineRule="auto"/>
        <w:rPr>
          <w:rFonts w:ascii="Calibri" w:hAnsi="Calibri"/>
          <w:sz w:val="20"/>
          <w:szCs w:val="20"/>
          <w:u w:val="single"/>
          <w:lang w:eastAsia="en-US"/>
        </w:rPr>
      </w:pPr>
      <w:r w:rsidRPr="00BF1A64">
        <w:rPr>
          <w:rFonts w:ascii="Calibri" w:hAnsi="Calibri"/>
          <w:sz w:val="20"/>
          <w:szCs w:val="20"/>
          <w:u w:val="single"/>
          <w:lang w:eastAsia="en-US"/>
        </w:rPr>
        <w:t>Laboratory results</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 xml:space="preserve">Was TEG/ROTEM used?                              Yes     /    No  </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Was Clauss fibrinogen checked?</w:t>
      </w:r>
      <w:r w:rsidRPr="00BF1A64">
        <w:rPr>
          <w:rFonts w:ascii="Calibri" w:hAnsi="Calibri"/>
          <w:sz w:val="20"/>
          <w:szCs w:val="20"/>
          <w:lang w:eastAsia="en-US"/>
        </w:rPr>
        <w:tab/>
      </w:r>
      <w:r w:rsidRPr="00BF1A64">
        <w:rPr>
          <w:rFonts w:ascii="Calibri" w:hAnsi="Calibri"/>
          <w:sz w:val="20"/>
          <w:szCs w:val="20"/>
          <w:lang w:eastAsia="en-US"/>
        </w:rPr>
        <w:tab/>
        <w:t>Yes    /  No</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Results – should be result closest to activation and within 4 hours of actviation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0"/>
        <w:gridCol w:w="3081"/>
      </w:tblGrid>
      <w:tr w:rsidR="0085716E" w:rsidRPr="00BF1A64" w:rsidTr="001F206A">
        <w:tc>
          <w:tcPr>
            <w:tcW w:w="308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Parameter</w:t>
            </w:r>
          </w:p>
        </w:tc>
        <w:tc>
          <w:tcPr>
            <w:tcW w:w="3081"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1</w:t>
            </w:r>
            <w:r w:rsidRPr="00BF1A64">
              <w:rPr>
                <w:rFonts w:ascii="Calibri" w:hAnsi="Calibri"/>
                <w:sz w:val="20"/>
                <w:szCs w:val="20"/>
                <w:vertAlign w:val="superscript"/>
                <w:lang w:eastAsia="en-US"/>
              </w:rPr>
              <w:t>st</w:t>
            </w:r>
            <w:r w:rsidRPr="00BF1A64">
              <w:rPr>
                <w:rFonts w:ascii="Calibri" w:hAnsi="Calibri"/>
                <w:sz w:val="20"/>
                <w:szCs w:val="20"/>
                <w:lang w:eastAsia="en-US"/>
              </w:rPr>
              <w:t xml:space="preserve"> result after activation</w:t>
            </w:r>
          </w:p>
        </w:tc>
      </w:tr>
      <w:tr w:rsidR="0085716E" w:rsidRPr="00BF1A64" w:rsidTr="001F206A">
        <w:tc>
          <w:tcPr>
            <w:tcW w:w="308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Hb g/L</w:t>
            </w:r>
          </w:p>
        </w:tc>
        <w:tc>
          <w:tcPr>
            <w:tcW w:w="3081" w:type="dxa"/>
          </w:tcPr>
          <w:p w:rsidR="0085716E" w:rsidRPr="00BF1A64" w:rsidRDefault="0085716E" w:rsidP="00BF1A64">
            <w:pPr>
              <w:rPr>
                <w:rFonts w:ascii="Calibri" w:hAnsi="Calibri"/>
                <w:sz w:val="20"/>
                <w:szCs w:val="20"/>
                <w:lang w:eastAsia="en-US"/>
              </w:rPr>
            </w:pPr>
          </w:p>
        </w:tc>
      </w:tr>
      <w:tr w:rsidR="0085716E" w:rsidRPr="00BF1A64" w:rsidTr="001F206A">
        <w:tc>
          <w:tcPr>
            <w:tcW w:w="308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Platelets x 10</w:t>
            </w:r>
            <w:r w:rsidRPr="00BF1A64">
              <w:rPr>
                <w:rFonts w:ascii="Calibri" w:hAnsi="Calibri"/>
                <w:sz w:val="20"/>
                <w:szCs w:val="20"/>
                <w:vertAlign w:val="superscript"/>
                <w:lang w:eastAsia="en-US"/>
              </w:rPr>
              <w:t>9</w:t>
            </w:r>
            <w:r w:rsidRPr="00BF1A64">
              <w:rPr>
                <w:rFonts w:ascii="Calibri" w:hAnsi="Calibri"/>
                <w:sz w:val="20"/>
                <w:szCs w:val="20"/>
                <w:lang w:eastAsia="en-US"/>
              </w:rPr>
              <w:t>/L</w:t>
            </w:r>
          </w:p>
        </w:tc>
        <w:tc>
          <w:tcPr>
            <w:tcW w:w="3081" w:type="dxa"/>
          </w:tcPr>
          <w:p w:rsidR="0085716E" w:rsidRPr="00BF1A64" w:rsidRDefault="0085716E" w:rsidP="00BF1A64">
            <w:pPr>
              <w:rPr>
                <w:rFonts w:ascii="Calibri" w:hAnsi="Calibri"/>
                <w:sz w:val="20"/>
                <w:szCs w:val="20"/>
                <w:lang w:eastAsia="en-US"/>
              </w:rPr>
            </w:pPr>
          </w:p>
        </w:tc>
      </w:tr>
      <w:tr w:rsidR="0085716E" w:rsidRPr="00BF1A64" w:rsidTr="001F206A">
        <w:tc>
          <w:tcPr>
            <w:tcW w:w="308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Clauss Fibrinogen g/L</w:t>
            </w:r>
          </w:p>
        </w:tc>
        <w:tc>
          <w:tcPr>
            <w:tcW w:w="3081" w:type="dxa"/>
          </w:tcPr>
          <w:p w:rsidR="0085716E" w:rsidRPr="00BF1A64" w:rsidRDefault="0085716E" w:rsidP="00BF1A64">
            <w:pPr>
              <w:rPr>
                <w:rFonts w:ascii="Calibri" w:hAnsi="Calibri"/>
                <w:sz w:val="20"/>
                <w:szCs w:val="20"/>
                <w:lang w:eastAsia="en-US"/>
              </w:rPr>
            </w:pPr>
          </w:p>
        </w:tc>
      </w:tr>
      <w:tr w:rsidR="0085716E" w:rsidRPr="00BF1A64" w:rsidTr="001F206A">
        <w:tc>
          <w:tcPr>
            <w:tcW w:w="3080"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Other coagulation parameters (PT,APTT, INR)</w:t>
            </w:r>
          </w:p>
        </w:tc>
        <w:tc>
          <w:tcPr>
            <w:tcW w:w="3081" w:type="dxa"/>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Normal  / Abnormal</w:t>
            </w:r>
          </w:p>
        </w:tc>
      </w:tr>
    </w:tbl>
    <w:p w:rsidR="0085716E" w:rsidRPr="00BF1A64" w:rsidRDefault="0085716E" w:rsidP="00BF1A64">
      <w:pPr>
        <w:spacing w:after="200" w:line="276" w:lineRule="auto"/>
        <w:rPr>
          <w:rFonts w:ascii="Calibri" w:hAnsi="Calibri"/>
          <w:sz w:val="20"/>
          <w:szCs w:val="20"/>
          <w:u w:val="single"/>
          <w:lang w:eastAsia="en-US"/>
        </w:rPr>
      </w:pPr>
      <w:r w:rsidRPr="00BF1A64">
        <w:rPr>
          <w:rFonts w:ascii="Calibri" w:hAnsi="Calibri"/>
          <w:sz w:val="20"/>
          <w:szCs w:val="20"/>
          <w:u w:val="single"/>
          <w:lang w:eastAsia="en-US"/>
        </w:rPr>
        <w:t>Adjuncts, Risk, Outcome</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Was tranexamic acid used?                     Yes     /    No</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If yes, was it within 3 hours?                   Yes    /    No        what dosing?...............................................</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Were other adjuncts used ?     PCC     /     Fibrinogen conc.     /      rVIIa     /     other………………………</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 xml:space="preserve">Were there any other risk factors?      Warfarin    /    novel oral anticoagulants    /    Liver disease    /     </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Other risk factors …………………………………………….</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 xml:space="preserve">If yes to novel oral anticoagulants: which one was patient on  Dabigatran / Rivaroxaban  / Apixaban </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 xml:space="preserve">Complications?     None     /     Thrombosis     /     Organ failure      /    Transfusion reaction    /    </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Other……………………………………………..</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Was patient admitted to critical care?         Yes     /     No</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Was lab informed of “Stand down”?            Yes     /     No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00"/>
        <w:gridCol w:w="1406"/>
        <w:gridCol w:w="3440"/>
        <w:gridCol w:w="1167"/>
      </w:tblGrid>
      <w:tr w:rsidR="0085716E" w:rsidRPr="00BF1A64" w:rsidTr="001F206A">
        <w:tc>
          <w:tcPr>
            <w:tcW w:w="321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Survival at 24 hours</w:t>
            </w:r>
          </w:p>
        </w:tc>
        <w:tc>
          <w:tcPr>
            <w:tcW w:w="1411" w:type="dxa"/>
            <w:tcBorders>
              <w:left w:val="single" w:sz="4" w:space="0" w:color="auto"/>
            </w:tcBorders>
          </w:tcPr>
          <w:p w:rsidR="0085716E" w:rsidRPr="00BF1A64" w:rsidRDefault="0085716E" w:rsidP="00BF1A64">
            <w:pPr>
              <w:rPr>
                <w:rFonts w:ascii="Calibri" w:hAnsi="Calibri"/>
                <w:sz w:val="20"/>
                <w:szCs w:val="20"/>
                <w:lang w:eastAsia="en-US"/>
              </w:rPr>
            </w:pPr>
          </w:p>
        </w:tc>
        <w:tc>
          <w:tcPr>
            <w:tcW w:w="345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Survival at 30 days</w:t>
            </w:r>
          </w:p>
        </w:tc>
        <w:tc>
          <w:tcPr>
            <w:tcW w:w="1171" w:type="dxa"/>
            <w:tcBorders>
              <w:left w:val="single" w:sz="4" w:space="0" w:color="auto"/>
            </w:tcBorders>
          </w:tcPr>
          <w:p w:rsidR="0085716E" w:rsidRPr="00BF1A64" w:rsidRDefault="0085716E" w:rsidP="00BF1A64">
            <w:pPr>
              <w:rPr>
                <w:rFonts w:ascii="Calibri" w:hAnsi="Calibri"/>
                <w:sz w:val="20"/>
                <w:szCs w:val="20"/>
                <w:lang w:eastAsia="en-US"/>
              </w:rPr>
            </w:pPr>
          </w:p>
        </w:tc>
      </w:tr>
      <w:tr w:rsidR="0085716E" w:rsidRPr="00BF1A64" w:rsidTr="001F206A">
        <w:tc>
          <w:tcPr>
            <w:tcW w:w="321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Survived</w:t>
            </w:r>
          </w:p>
        </w:tc>
        <w:tc>
          <w:tcPr>
            <w:tcW w:w="1411" w:type="dxa"/>
            <w:tcBorders>
              <w:left w:val="single" w:sz="4" w:space="0" w:color="auto"/>
            </w:tcBorders>
          </w:tcPr>
          <w:p w:rsidR="0085716E" w:rsidRPr="00BF1A64" w:rsidRDefault="0085716E" w:rsidP="00BF1A64">
            <w:pPr>
              <w:rPr>
                <w:rFonts w:ascii="Calibri" w:hAnsi="Calibri"/>
                <w:sz w:val="20"/>
                <w:szCs w:val="20"/>
                <w:lang w:eastAsia="en-US"/>
              </w:rPr>
            </w:pPr>
          </w:p>
        </w:tc>
        <w:tc>
          <w:tcPr>
            <w:tcW w:w="345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Survived</w:t>
            </w:r>
          </w:p>
        </w:tc>
        <w:tc>
          <w:tcPr>
            <w:tcW w:w="1171" w:type="dxa"/>
            <w:tcBorders>
              <w:left w:val="single" w:sz="4" w:space="0" w:color="auto"/>
            </w:tcBorders>
          </w:tcPr>
          <w:p w:rsidR="0085716E" w:rsidRPr="00BF1A64" w:rsidRDefault="0085716E" w:rsidP="00BF1A64">
            <w:pPr>
              <w:rPr>
                <w:rFonts w:ascii="Calibri" w:hAnsi="Calibri"/>
                <w:sz w:val="20"/>
                <w:szCs w:val="20"/>
                <w:lang w:eastAsia="en-US"/>
              </w:rPr>
            </w:pPr>
          </w:p>
        </w:tc>
      </w:tr>
      <w:tr w:rsidR="0085716E" w:rsidRPr="00BF1A64" w:rsidTr="001F206A">
        <w:tc>
          <w:tcPr>
            <w:tcW w:w="321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Discharged</w:t>
            </w:r>
          </w:p>
        </w:tc>
        <w:tc>
          <w:tcPr>
            <w:tcW w:w="1411" w:type="dxa"/>
            <w:tcBorders>
              <w:left w:val="single" w:sz="4" w:space="0" w:color="auto"/>
            </w:tcBorders>
          </w:tcPr>
          <w:p w:rsidR="0085716E" w:rsidRPr="00BF1A64" w:rsidRDefault="0085716E" w:rsidP="00BF1A64">
            <w:pPr>
              <w:rPr>
                <w:rFonts w:ascii="Calibri" w:hAnsi="Calibri"/>
                <w:sz w:val="20"/>
                <w:szCs w:val="20"/>
                <w:lang w:eastAsia="en-US"/>
              </w:rPr>
            </w:pPr>
          </w:p>
        </w:tc>
        <w:tc>
          <w:tcPr>
            <w:tcW w:w="345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Discharged</w:t>
            </w:r>
          </w:p>
        </w:tc>
        <w:tc>
          <w:tcPr>
            <w:tcW w:w="1171" w:type="dxa"/>
            <w:tcBorders>
              <w:left w:val="single" w:sz="4" w:space="0" w:color="auto"/>
            </w:tcBorders>
          </w:tcPr>
          <w:p w:rsidR="0085716E" w:rsidRPr="00BF1A64" w:rsidRDefault="0085716E" w:rsidP="00BF1A64">
            <w:pPr>
              <w:rPr>
                <w:rFonts w:ascii="Calibri" w:hAnsi="Calibri"/>
                <w:sz w:val="20"/>
                <w:szCs w:val="20"/>
                <w:lang w:eastAsia="en-US"/>
              </w:rPr>
            </w:pPr>
          </w:p>
        </w:tc>
      </w:tr>
      <w:tr w:rsidR="0085716E" w:rsidRPr="00BF1A64" w:rsidTr="001F206A">
        <w:tc>
          <w:tcPr>
            <w:tcW w:w="321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Transferred</w:t>
            </w:r>
          </w:p>
        </w:tc>
        <w:tc>
          <w:tcPr>
            <w:tcW w:w="1411" w:type="dxa"/>
            <w:tcBorders>
              <w:left w:val="single" w:sz="4" w:space="0" w:color="auto"/>
            </w:tcBorders>
          </w:tcPr>
          <w:p w:rsidR="0085716E" w:rsidRPr="00BF1A64" w:rsidRDefault="0085716E" w:rsidP="00BF1A64">
            <w:pPr>
              <w:rPr>
                <w:rFonts w:ascii="Calibri" w:hAnsi="Calibri"/>
                <w:sz w:val="20"/>
                <w:szCs w:val="20"/>
                <w:lang w:eastAsia="en-US"/>
              </w:rPr>
            </w:pPr>
          </w:p>
        </w:tc>
        <w:tc>
          <w:tcPr>
            <w:tcW w:w="345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Transferred</w:t>
            </w:r>
          </w:p>
        </w:tc>
        <w:tc>
          <w:tcPr>
            <w:tcW w:w="1171" w:type="dxa"/>
            <w:tcBorders>
              <w:left w:val="single" w:sz="4" w:space="0" w:color="auto"/>
            </w:tcBorders>
          </w:tcPr>
          <w:p w:rsidR="0085716E" w:rsidRPr="00BF1A64" w:rsidRDefault="0085716E" w:rsidP="00BF1A64">
            <w:pPr>
              <w:rPr>
                <w:rFonts w:ascii="Calibri" w:hAnsi="Calibri"/>
                <w:sz w:val="20"/>
                <w:szCs w:val="20"/>
                <w:lang w:eastAsia="en-US"/>
              </w:rPr>
            </w:pPr>
          </w:p>
        </w:tc>
      </w:tr>
      <w:tr w:rsidR="0085716E" w:rsidRPr="00BF1A64" w:rsidTr="001F206A">
        <w:tc>
          <w:tcPr>
            <w:tcW w:w="321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Deceased</w:t>
            </w:r>
          </w:p>
        </w:tc>
        <w:tc>
          <w:tcPr>
            <w:tcW w:w="1411" w:type="dxa"/>
            <w:tcBorders>
              <w:left w:val="single" w:sz="4" w:space="0" w:color="auto"/>
            </w:tcBorders>
          </w:tcPr>
          <w:p w:rsidR="0085716E" w:rsidRPr="00BF1A64" w:rsidRDefault="0085716E" w:rsidP="00BF1A64">
            <w:pPr>
              <w:rPr>
                <w:rFonts w:ascii="Calibri" w:hAnsi="Calibri"/>
                <w:sz w:val="20"/>
                <w:szCs w:val="20"/>
                <w:lang w:eastAsia="en-US"/>
              </w:rPr>
            </w:pPr>
          </w:p>
        </w:tc>
        <w:tc>
          <w:tcPr>
            <w:tcW w:w="3450" w:type="dxa"/>
            <w:tcBorders>
              <w:right w:val="single" w:sz="4" w:space="0" w:color="auto"/>
            </w:tcBorders>
          </w:tcPr>
          <w:p w:rsidR="0085716E" w:rsidRPr="00BF1A64" w:rsidRDefault="0085716E" w:rsidP="00BF1A64">
            <w:pPr>
              <w:rPr>
                <w:rFonts w:ascii="Calibri" w:hAnsi="Calibri"/>
                <w:sz w:val="20"/>
                <w:szCs w:val="20"/>
                <w:lang w:eastAsia="en-US"/>
              </w:rPr>
            </w:pPr>
            <w:r w:rsidRPr="00BF1A64">
              <w:rPr>
                <w:rFonts w:ascii="Calibri" w:hAnsi="Calibri"/>
                <w:sz w:val="20"/>
                <w:szCs w:val="20"/>
                <w:lang w:eastAsia="en-US"/>
              </w:rPr>
              <w:t>Deceased</w:t>
            </w:r>
          </w:p>
        </w:tc>
        <w:tc>
          <w:tcPr>
            <w:tcW w:w="1171" w:type="dxa"/>
            <w:tcBorders>
              <w:left w:val="single" w:sz="4" w:space="0" w:color="auto"/>
            </w:tcBorders>
          </w:tcPr>
          <w:p w:rsidR="0085716E" w:rsidRPr="00BF1A64" w:rsidRDefault="0085716E" w:rsidP="00BF1A64">
            <w:pPr>
              <w:rPr>
                <w:rFonts w:ascii="Calibri" w:hAnsi="Calibri"/>
                <w:sz w:val="20"/>
                <w:szCs w:val="20"/>
                <w:lang w:eastAsia="en-US"/>
              </w:rPr>
            </w:pPr>
          </w:p>
        </w:tc>
      </w:tr>
    </w:tbl>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Cause of death?......................................................................................</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Was this an appropriate activation?             Yes     /     No</w:t>
      </w:r>
    </w:p>
    <w:p w:rsidR="0085716E" w:rsidRPr="00BF1A64" w:rsidRDefault="0085716E" w:rsidP="00BF1A64">
      <w:pPr>
        <w:spacing w:after="200" w:line="276" w:lineRule="auto"/>
        <w:rPr>
          <w:rFonts w:ascii="Calibri" w:hAnsi="Calibri"/>
          <w:sz w:val="20"/>
          <w:szCs w:val="20"/>
          <w:lang w:eastAsia="en-US"/>
        </w:rPr>
      </w:pPr>
      <w:r w:rsidRPr="00BF1A64">
        <w:rPr>
          <w:rFonts w:ascii="Calibri" w:hAnsi="Calibri"/>
          <w:sz w:val="20"/>
          <w:szCs w:val="20"/>
          <w:lang w:eastAsia="en-US"/>
        </w:rPr>
        <w:t>Were there any reportable incidents?...................................................................................</w:t>
      </w:r>
    </w:p>
    <w:p w:rsidR="0085716E" w:rsidRPr="00BF1A64" w:rsidRDefault="0085716E" w:rsidP="00922AC2">
      <w:pPr>
        <w:rPr>
          <w:rFonts w:cs="Arial"/>
        </w:rPr>
      </w:pPr>
      <w:r w:rsidRPr="00BF1A64">
        <w:rPr>
          <w:rFonts w:ascii="Calibri" w:hAnsi="Calibri"/>
          <w:sz w:val="20"/>
          <w:szCs w:val="20"/>
          <w:lang w:eastAsia="en-US"/>
        </w:rPr>
        <w:t>Any other comments</w:t>
      </w:r>
    </w:p>
    <w:p w:rsidR="0085716E" w:rsidRDefault="0085716E" w:rsidP="00BF1A64">
      <w:pPr>
        <w:sectPr w:rsidR="0085716E" w:rsidSect="0085143B">
          <w:pgSz w:w="11906" w:h="16838"/>
          <w:pgMar w:top="1077" w:right="1287" w:bottom="539" w:left="1622" w:header="709" w:footer="709" w:gutter="0"/>
          <w:cols w:space="708"/>
          <w:docGrid w:linePitch="360"/>
        </w:sectPr>
      </w:pPr>
      <w:r>
        <w:rPr>
          <w:noProof/>
        </w:rPr>
        <w:pict>
          <v:shape id="Picture 8" o:spid="_x0000_s1038" type="#_x0000_t75" style="position:absolute;margin-left:0;margin-top:0;width:63pt;height:18pt;z-index:251650560;visibility:visible">
            <v:imagedata r:id="rId17" o:title=""/>
          </v:shape>
        </w:pict>
      </w:r>
    </w:p>
    <w:p w:rsidR="0085716E" w:rsidRPr="00414910" w:rsidRDefault="0085716E" w:rsidP="006219F5">
      <w:pPr>
        <w:tabs>
          <w:tab w:val="left" w:pos="540"/>
        </w:tabs>
        <w:rPr>
          <w:b/>
          <w:sz w:val="28"/>
          <w:szCs w:val="28"/>
        </w:rPr>
      </w:pPr>
      <w:r>
        <w:rPr>
          <w:b/>
          <w:sz w:val="28"/>
          <w:szCs w:val="28"/>
        </w:rPr>
        <w:t xml:space="preserve">13. </w:t>
      </w:r>
      <w:r w:rsidRPr="00414910">
        <w:rPr>
          <w:b/>
          <w:sz w:val="28"/>
          <w:szCs w:val="28"/>
        </w:rPr>
        <w:t>References</w:t>
      </w:r>
    </w:p>
    <w:p w:rsidR="0085716E" w:rsidRDefault="0085716E" w:rsidP="004D4C1D">
      <w:pPr>
        <w:tabs>
          <w:tab w:val="left" w:pos="900"/>
        </w:tabs>
        <w:rPr>
          <w:b/>
          <w:sz w:val="28"/>
          <w:szCs w:val="28"/>
        </w:rPr>
      </w:pPr>
    </w:p>
    <w:p w:rsidR="0085716E" w:rsidRDefault="0085716E" w:rsidP="0085143B">
      <w:pPr>
        <w:numPr>
          <w:ilvl w:val="0"/>
          <w:numId w:val="3"/>
        </w:numPr>
        <w:tabs>
          <w:tab w:val="clear" w:pos="720"/>
          <w:tab w:val="left" w:pos="540"/>
        </w:tabs>
        <w:ind w:left="540" w:hanging="540"/>
      </w:pPr>
      <w:r>
        <w:t xml:space="preserve">The transfusion of blood and blood components in an emergency:  National Patient Safety Agency Rapid Response Report NPSA/2010/RRR017 October 2010   </w:t>
      </w:r>
    </w:p>
    <w:p w:rsidR="0085716E" w:rsidRDefault="0085716E" w:rsidP="004D4C1D">
      <w:pPr>
        <w:tabs>
          <w:tab w:val="left" w:pos="540"/>
        </w:tabs>
        <w:ind w:left="540" w:hanging="540"/>
      </w:pPr>
      <w:r>
        <w:tab/>
      </w:r>
      <w:r>
        <w:object w:dxaOrig="1534" w:dyaOrig="995">
          <v:shape id="_x0000_i1033" type="#_x0000_t75" style="width:73.5pt;height:49.5pt" o:ole="">
            <v:imagedata r:id="rId18" o:title=""/>
          </v:shape>
          <o:OLEObject Type="Embed" ProgID="AcroExch.Document.7" ShapeID="_x0000_i1033" DrawAspect="Icon" ObjectID="_1476702988" r:id="rId19"/>
        </w:object>
      </w:r>
    </w:p>
    <w:p w:rsidR="0085716E" w:rsidRDefault="0085716E" w:rsidP="0085143B">
      <w:pPr>
        <w:numPr>
          <w:ilvl w:val="0"/>
          <w:numId w:val="30"/>
        </w:numPr>
        <w:tabs>
          <w:tab w:val="clear" w:pos="360"/>
          <w:tab w:val="num" w:pos="540"/>
        </w:tabs>
        <w:ind w:left="540" w:hanging="540"/>
        <w:rPr>
          <w:bCs/>
          <w:iCs/>
        </w:rPr>
      </w:pPr>
      <w:r w:rsidRPr="00B114D6">
        <w:rPr>
          <w:bCs/>
        </w:rPr>
        <w:t xml:space="preserve">The importance of early treatment with tranexamic acid in bleeding trauma patients: an exploratory analysis of the CRASH-2 randomised controlled trial </w:t>
      </w:r>
      <w:r w:rsidRPr="00B114D6">
        <w:rPr>
          <w:i/>
          <w:iCs/>
        </w:rPr>
        <w:t>The CRASH-2 collaborators*</w:t>
      </w:r>
      <w:r>
        <w:rPr>
          <w:i/>
          <w:iCs/>
        </w:rPr>
        <w:t xml:space="preserve"> </w:t>
      </w:r>
      <w:r w:rsidRPr="00B114D6">
        <w:rPr>
          <w:iCs/>
        </w:rPr>
        <w:t xml:space="preserve">Published </w:t>
      </w:r>
      <w:r w:rsidRPr="00B114D6">
        <w:rPr>
          <w:bCs/>
          <w:iCs/>
        </w:rPr>
        <w:t xml:space="preserve">Online The Lancet </w:t>
      </w:r>
      <w:r w:rsidRPr="00B114D6">
        <w:rPr>
          <w:iCs/>
        </w:rPr>
        <w:t>March 24, 2011</w:t>
      </w:r>
    </w:p>
    <w:p w:rsidR="0085716E" w:rsidRDefault="0085716E" w:rsidP="0085143B">
      <w:pPr>
        <w:numPr>
          <w:ilvl w:val="0"/>
          <w:numId w:val="30"/>
        </w:numPr>
        <w:tabs>
          <w:tab w:val="clear" w:pos="360"/>
        </w:tabs>
        <w:ind w:left="540" w:hanging="540"/>
      </w:pPr>
      <w:r w:rsidRPr="00346CB8">
        <w:t xml:space="preserve">Clinical review: Canadian National Advisory Committee on Blood and Blood Products - </w:t>
      </w:r>
      <w:r>
        <w:t>Major</w:t>
      </w:r>
      <w:r w:rsidRPr="00346CB8">
        <w:t xml:space="preserve"> Transfusion Consensus Conference 2011: report of the panel</w:t>
      </w:r>
      <w:r>
        <w:t xml:space="preserve"> </w:t>
      </w:r>
      <w:r w:rsidRPr="00346CB8">
        <w:rPr>
          <w:i/>
          <w:iCs/>
        </w:rPr>
        <w:t>Critical Care</w:t>
      </w:r>
      <w:r w:rsidRPr="00346CB8">
        <w:t xml:space="preserve"> 2011, </w:t>
      </w:r>
      <w:r w:rsidRPr="00346CB8">
        <w:rPr>
          <w:b/>
          <w:bCs/>
        </w:rPr>
        <w:t>15</w:t>
      </w:r>
      <w:r w:rsidRPr="00346CB8">
        <w:t>:242 </w:t>
      </w:r>
      <w:r>
        <w:t xml:space="preserve"> Dzik W et al</w:t>
      </w:r>
    </w:p>
    <w:p w:rsidR="0085716E" w:rsidRDefault="0085716E" w:rsidP="0085143B">
      <w:pPr>
        <w:numPr>
          <w:ilvl w:val="0"/>
          <w:numId w:val="30"/>
        </w:numPr>
        <w:tabs>
          <w:tab w:val="clear" w:pos="360"/>
          <w:tab w:val="num" w:pos="540"/>
        </w:tabs>
        <w:ind w:left="540" w:hanging="540"/>
        <w:rPr>
          <w:bCs/>
        </w:rPr>
      </w:pPr>
      <w:r w:rsidRPr="00DD225E">
        <w:rPr>
          <w:bCs/>
        </w:rPr>
        <w:t>Management of bleeding following major trauma: an updated European</w:t>
      </w:r>
      <w:r>
        <w:rPr>
          <w:bCs/>
        </w:rPr>
        <w:t xml:space="preserve"> </w:t>
      </w:r>
      <w:r w:rsidRPr="00DD225E">
        <w:rPr>
          <w:bCs/>
        </w:rPr>
        <w:t>Guideline</w:t>
      </w:r>
      <w:r>
        <w:rPr>
          <w:bCs/>
        </w:rPr>
        <w:t xml:space="preserve"> </w:t>
      </w:r>
      <w:r w:rsidRPr="00DD225E">
        <w:rPr>
          <w:i/>
          <w:iCs/>
        </w:rPr>
        <w:t xml:space="preserve">Critical Care </w:t>
      </w:r>
      <w:r>
        <w:t>2010,</w:t>
      </w:r>
      <w:r w:rsidRPr="00310CB2">
        <w:rPr>
          <w:bCs/>
        </w:rPr>
        <w:t>14</w:t>
      </w:r>
      <w:r w:rsidRPr="00DD225E">
        <w:t>:</w:t>
      </w:r>
      <w:r>
        <w:t xml:space="preserve">R52 </w:t>
      </w:r>
      <w:r w:rsidRPr="00DD225E">
        <w:t>Rossaint</w:t>
      </w:r>
      <w:r>
        <w:t xml:space="preserve"> R</w:t>
      </w:r>
      <w:r w:rsidRPr="00DD225E">
        <w:t xml:space="preserve"> </w:t>
      </w:r>
      <w:r>
        <w:t>et al</w:t>
      </w:r>
    </w:p>
    <w:p w:rsidR="0085716E" w:rsidRDefault="0085716E" w:rsidP="0085143B">
      <w:pPr>
        <w:numPr>
          <w:ilvl w:val="0"/>
          <w:numId w:val="30"/>
        </w:numPr>
        <w:tabs>
          <w:tab w:val="clear" w:pos="360"/>
          <w:tab w:val="num" w:pos="540"/>
        </w:tabs>
        <w:ind w:left="540" w:hanging="540"/>
      </w:pPr>
      <w:r w:rsidRPr="00D01DF5">
        <w:t>The decrease of fibrinogen is an early predictor of the severity of postpartum hemorrhage.</w:t>
      </w:r>
      <w:r>
        <w:t xml:space="preserve"> </w:t>
      </w:r>
      <w:hyperlink r:id="rId20" w:anchor="#" w:tooltip="Journal of thrombosis and haemostasis : JTH." w:history="1">
        <w:r>
          <w:rPr>
            <w:rStyle w:val="Hyperlink"/>
          </w:rPr>
          <w:t>J Thromb Haemost.</w:t>
        </w:r>
      </w:hyperlink>
      <w:r>
        <w:t xml:space="preserve"> 2007 Feb;5(2):266-73. Charbit B et al</w:t>
      </w:r>
    </w:p>
    <w:p w:rsidR="0085716E" w:rsidRDefault="0085716E" w:rsidP="0085143B">
      <w:pPr>
        <w:numPr>
          <w:ilvl w:val="0"/>
          <w:numId w:val="30"/>
        </w:numPr>
        <w:tabs>
          <w:tab w:val="clear" w:pos="360"/>
          <w:tab w:val="left" w:pos="540"/>
          <w:tab w:val="num" w:pos="720"/>
        </w:tabs>
        <w:ind w:left="540" w:hanging="540"/>
      </w:pPr>
      <w:r w:rsidRPr="00BF6343">
        <w:t xml:space="preserve">Blood transfusion and the anaesthetist: management of </w:t>
      </w:r>
      <w:r>
        <w:t>major</w:t>
      </w:r>
      <w:r w:rsidRPr="00BF6343">
        <w:t xml:space="preserve"> haemorrhage. </w:t>
      </w:r>
      <w:r w:rsidRPr="00BF6343">
        <w:rPr>
          <w:i/>
        </w:rPr>
        <w:t>Anaesthesia</w:t>
      </w:r>
      <w:r w:rsidRPr="00BF6343">
        <w:t xml:space="preserve"> 2010;95:1153-1161</w:t>
      </w:r>
    </w:p>
    <w:p w:rsidR="0085716E" w:rsidRDefault="0085716E" w:rsidP="0085143B">
      <w:pPr>
        <w:numPr>
          <w:ilvl w:val="0"/>
          <w:numId w:val="30"/>
        </w:numPr>
        <w:tabs>
          <w:tab w:val="clear" w:pos="360"/>
          <w:tab w:val="left" w:pos="540"/>
          <w:tab w:val="num" w:pos="720"/>
        </w:tabs>
        <w:ind w:left="540" w:hanging="540"/>
      </w:pPr>
      <w:r>
        <w:t xml:space="preserve">Australian Patient Blood Management Guideline Module 1 Critical bleeding / major transfusion 2011 </w:t>
      </w:r>
      <w:r w:rsidRPr="00346CB8">
        <w:t>http://www.nba.gov.au/guidelines/module1/cbmt-qrg.pdf</w:t>
      </w:r>
    </w:p>
    <w:p w:rsidR="0085716E" w:rsidRDefault="0085716E" w:rsidP="0085143B">
      <w:pPr>
        <w:numPr>
          <w:ilvl w:val="0"/>
          <w:numId w:val="30"/>
        </w:numPr>
        <w:tabs>
          <w:tab w:val="clear" w:pos="360"/>
          <w:tab w:val="num" w:pos="540"/>
        </w:tabs>
        <w:ind w:left="540" w:hanging="540"/>
        <w:rPr>
          <w:rFonts w:cs="Arial"/>
        </w:rPr>
      </w:pPr>
      <w:r w:rsidRPr="00D2017B">
        <w:t xml:space="preserve">Johansson PI et al. Proactive administration of platelets and plasma for patients with a ruptured abdominal aortic aneurysm: evaluating a change in transfusion practice </w:t>
      </w:r>
      <w:r w:rsidRPr="00D2017B">
        <w:rPr>
          <w:i/>
        </w:rPr>
        <w:t xml:space="preserve">Transfusion </w:t>
      </w:r>
      <w:r w:rsidRPr="00D2017B">
        <w:t>2007: 47; 593-8</w:t>
      </w:r>
    </w:p>
    <w:p w:rsidR="0085716E" w:rsidRDefault="0085716E" w:rsidP="004D4C1D">
      <w:pPr>
        <w:tabs>
          <w:tab w:val="left" w:pos="540"/>
        </w:tabs>
        <w:ind w:left="540" w:hanging="540"/>
      </w:pPr>
    </w:p>
    <w:p w:rsidR="0085716E" w:rsidRPr="00B00A58" w:rsidRDefault="0085716E" w:rsidP="004D4C1D">
      <w:pPr>
        <w:tabs>
          <w:tab w:val="left" w:pos="900"/>
        </w:tabs>
      </w:pPr>
    </w:p>
    <w:p w:rsidR="0085716E" w:rsidRDefault="0085716E" w:rsidP="004D4C1D">
      <w:pPr>
        <w:rPr>
          <w:b/>
        </w:rPr>
      </w:pPr>
    </w:p>
    <w:p w:rsidR="0085716E" w:rsidRDefault="0085716E" w:rsidP="004D4C1D">
      <w:pPr>
        <w:rPr>
          <w:b/>
        </w:rPr>
      </w:pPr>
    </w:p>
    <w:p w:rsidR="0085716E" w:rsidRDefault="0085716E" w:rsidP="004D4C1D">
      <w:pPr>
        <w:rPr>
          <w:b/>
        </w:rPr>
      </w:pPr>
    </w:p>
    <w:p w:rsidR="0085716E" w:rsidRDefault="0085716E" w:rsidP="004D4C1D">
      <w:pPr>
        <w:rPr>
          <w:b/>
        </w:rPr>
      </w:pPr>
    </w:p>
    <w:p w:rsidR="0085716E" w:rsidRDefault="0085716E" w:rsidP="004D4C1D">
      <w:pPr>
        <w:rPr>
          <w:b/>
        </w:rPr>
      </w:pPr>
    </w:p>
    <w:p w:rsidR="0085716E" w:rsidRDefault="0085716E" w:rsidP="004D4C1D">
      <w:pPr>
        <w:rPr>
          <w:b/>
        </w:rPr>
      </w:pPr>
    </w:p>
    <w:p w:rsidR="0085716E" w:rsidRDefault="0085716E" w:rsidP="004D4C1D">
      <w:pPr>
        <w:rPr>
          <w:b/>
        </w:rPr>
      </w:pPr>
    </w:p>
    <w:p w:rsidR="0085716E" w:rsidRPr="00A21C81" w:rsidRDefault="0085716E" w:rsidP="00B01DAD"/>
    <w:p w:rsidR="0085716E" w:rsidRDefault="0085716E" w:rsidP="00B528B3">
      <w:pPr>
        <w:ind w:left="180"/>
        <w:rPr>
          <w:b/>
          <w:sz w:val="28"/>
          <w:szCs w:val="28"/>
        </w:rPr>
      </w:pPr>
      <w:r>
        <w:rPr>
          <w:b/>
          <w:sz w:val="28"/>
          <w:szCs w:val="28"/>
        </w:rPr>
        <w:br w:type="page"/>
        <w:t>14. Appendix 1</w:t>
      </w:r>
    </w:p>
    <w:p w:rsidR="0085716E" w:rsidRDefault="0085716E" w:rsidP="00B528B3">
      <w:pPr>
        <w:ind w:left="180"/>
        <w:rPr>
          <w:b/>
          <w:sz w:val="28"/>
          <w:szCs w:val="28"/>
        </w:rPr>
      </w:pPr>
    </w:p>
    <w:p w:rsidR="0085716E" w:rsidRPr="00414910" w:rsidRDefault="0085716E" w:rsidP="00B528B3">
      <w:pPr>
        <w:ind w:left="180"/>
        <w:rPr>
          <w:b/>
          <w:sz w:val="28"/>
          <w:szCs w:val="28"/>
        </w:rPr>
      </w:pPr>
      <w:r w:rsidRPr="00414910">
        <w:rPr>
          <w:b/>
          <w:sz w:val="28"/>
          <w:szCs w:val="28"/>
        </w:rPr>
        <w:t>Speciality specific information</w:t>
      </w:r>
    </w:p>
    <w:p w:rsidR="0085716E" w:rsidRPr="006B321A" w:rsidRDefault="0085716E" w:rsidP="00B01DAD">
      <w:pPr>
        <w:rPr>
          <w:b/>
        </w:rPr>
      </w:pPr>
    </w:p>
    <w:p w:rsidR="0085716E" w:rsidRPr="006B321A" w:rsidRDefault="0085716E" w:rsidP="0042631B">
      <w:pPr>
        <w:numPr>
          <w:ilvl w:val="1"/>
          <w:numId w:val="1"/>
        </w:numPr>
        <w:rPr>
          <w:b/>
        </w:rPr>
      </w:pPr>
      <w:r w:rsidRPr="006B321A">
        <w:rPr>
          <w:b/>
        </w:rPr>
        <w:t>Major trauma</w:t>
      </w:r>
    </w:p>
    <w:p w:rsidR="0085716E" w:rsidRPr="00971A84" w:rsidRDefault="0085716E" w:rsidP="00B01DAD">
      <w:pPr>
        <w:rPr>
          <w:b/>
          <w:sz w:val="28"/>
          <w:szCs w:val="28"/>
        </w:rPr>
      </w:pPr>
    </w:p>
    <w:p w:rsidR="0085716E" w:rsidRPr="00303DD3" w:rsidRDefault="0085716E" w:rsidP="00B01DAD">
      <w:pPr>
        <w:rPr>
          <w:b/>
        </w:rPr>
      </w:pPr>
      <w:r>
        <w:rPr>
          <w:b/>
        </w:rPr>
        <w:t xml:space="preserve">1.1 </w:t>
      </w:r>
      <w:r w:rsidRPr="00303DD3">
        <w:rPr>
          <w:b/>
        </w:rPr>
        <w:t>Who sh</w:t>
      </w:r>
      <w:r>
        <w:rPr>
          <w:b/>
        </w:rPr>
        <w:t>ould be included in the team?</w:t>
      </w:r>
    </w:p>
    <w:p w:rsidR="0085716E" w:rsidRPr="00303DD3" w:rsidRDefault="0085716E" w:rsidP="00B01DAD">
      <w:r w:rsidRPr="00303DD3">
        <w:t xml:space="preserve">In general, this should be all the personnel included in the Trauma Team with the addition of the lab response, appropriate portering service and haematological advice. </w:t>
      </w:r>
    </w:p>
    <w:p w:rsidR="0085716E" w:rsidRPr="00303DD3" w:rsidRDefault="0085716E" w:rsidP="00B01DAD"/>
    <w:p w:rsidR="0085716E" w:rsidRPr="00303DD3" w:rsidRDefault="0085716E" w:rsidP="00B01DAD">
      <w:r w:rsidRPr="00303DD3">
        <w:t>The ideal is consultant led care. When a consultant is not immediately available an appropriate senior doctor within the department must be informed. The senior doctor should become the trauma team leader and make the decisions as to whether O neg and group specific blood are used.</w:t>
      </w:r>
    </w:p>
    <w:p w:rsidR="0085716E" w:rsidRPr="00303DD3" w:rsidRDefault="0085716E" w:rsidP="00B01DAD"/>
    <w:p w:rsidR="0085716E" w:rsidRPr="00303DD3" w:rsidRDefault="0085716E" w:rsidP="00B01DAD">
      <w:r w:rsidRPr="00303DD3">
        <w:t xml:space="preserve">The </w:t>
      </w:r>
      <w:r>
        <w:t>major</w:t>
      </w:r>
      <w:r w:rsidRPr="00303DD3">
        <w:t>ly bleeding trauma patient is highly likely to need urgent/immediate surgery. The appropriate surgical and anaesthetic staff should have been contacted immediately as part of the trauma team. If the team has not been activated, they will need calling immediately. If the patient is expected to go to critical care, critical care should be informed early.</w:t>
      </w:r>
    </w:p>
    <w:p w:rsidR="0085716E" w:rsidRPr="00303DD3" w:rsidRDefault="0085716E" w:rsidP="00B01DAD"/>
    <w:p w:rsidR="0085716E" w:rsidRPr="00303DD3" w:rsidRDefault="0085716E" w:rsidP="00B01DAD">
      <w:pPr>
        <w:rPr>
          <w:b/>
        </w:rPr>
      </w:pPr>
      <w:r>
        <w:rPr>
          <w:b/>
        </w:rPr>
        <w:t xml:space="preserve">1.2 </w:t>
      </w:r>
      <w:r w:rsidRPr="00303DD3">
        <w:rPr>
          <w:b/>
        </w:rPr>
        <w:t>Additional management aspects</w:t>
      </w:r>
    </w:p>
    <w:p w:rsidR="0085716E" w:rsidRPr="00303DD3" w:rsidRDefault="0085716E" w:rsidP="00B01DAD">
      <w:r w:rsidRPr="00303DD3">
        <w:t xml:space="preserve">Turning off the tap is just as important as immediate resuscitation and should run along side the initial ABC approach. The British Military uses a C-ABC approach which involves dealing with catastrophic haemorrhage first by simple first aid measures such as direct pressure and tourniquet use where there is obvious external haemorrhage.  </w:t>
      </w:r>
    </w:p>
    <w:p w:rsidR="0085716E" w:rsidRPr="00303DD3" w:rsidRDefault="0085716E" w:rsidP="00B01DAD"/>
    <w:p w:rsidR="0085716E" w:rsidRPr="00303DD3" w:rsidRDefault="0085716E" w:rsidP="00B01DAD">
      <w:r w:rsidRPr="00303DD3">
        <w:t xml:space="preserve">About </w:t>
      </w:r>
      <w:r>
        <w:t>one quarter to one third</w:t>
      </w:r>
      <w:r w:rsidRPr="00303DD3">
        <w:t xml:space="preserve"> of major trauma patients (ISS &gt; 16) are coagulopathic on arrival </w:t>
      </w:r>
      <w:r>
        <w:rPr>
          <w:vertAlign w:val="superscript"/>
        </w:rPr>
        <w:t>1,2</w:t>
      </w:r>
      <w:r>
        <w:t xml:space="preserve">. </w:t>
      </w:r>
      <w:r w:rsidRPr="00303DD3">
        <w:t>Managing this with appropriate use of blood products is essential.</w:t>
      </w:r>
    </w:p>
    <w:p w:rsidR="0085716E" w:rsidRPr="00303DD3" w:rsidRDefault="0085716E" w:rsidP="00B01DAD"/>
    <w:p w:rsidR="0085716E" w:rsidRPr="00303DD3" w:rsidRDefault="0085716E" w:rsidP="00B01DAD">
      <w:pPr>
        <w:rPr>
          <w:b/>
        </w:rPr>
      </w:pPr>
      <w:r>
        <w:rPr>
          <w:b/>
        </w:rPr>
        <w:t xml:space="preserve">1.2.1 </w:t>
      </w:r>
      <w:r w:rsidRPr="00303DD3">
        <w:rPr>
          <w:b/>
        </w:rPr>
        <w:t>Airway with C Spine</w:t>
      </w:r>
    </w:p>
    <w:p w:rsidR="0085716E" w:rsidRPr="00303DD3" w:rsidRDefault="0085716E" w:rsidP="00B01DAD">
      <w:r w:rsidRPr="00303DD3">
        <w:t>Ensure the patient has a patent airway. Give High flow Oxygen (Mask with reservoir, 15L/min) if not intubated and ventilated.</w:t>
      </w:r>
    </w:p>
    <w:p w:rsidR="0085716E" w:rsidRPr="00303DD3" w:rsidRDefault="0085716E" w:rsidP="00B01DAD">
      <w:r w:rsidRPr="00303DD3">
        <w:t>Maintain C Spine protection where appropriate.</w:t>
      </w:r>
    </w:p>
    <w:p w:rsidR="0085716E" w:rsidRPr="00303DD3" w:rsidRDefault="0085716E" w:rsidP="00B01DAD"/>
    <w:p w:rsidR="0085716E" w:rsidRPr="00303DD3" w:rsidRDefault="0085716E" w:rsidP="00B01DAD">
      <w:pPr>
        <w:rPr>
          <w:b/>
        </w:rPr>
      </w:pPr>
      <w:r>
        <w:rPr>
          <w:b/>
        </w:rPr>
        <w:t xml:space="preserve">1.2.3 </w:t>
      </w:r>
      <w:r w:rsidRPr="00303DD3">
        <w:rPr>
          <w:b/>
        </w:rPr>
        <w:t>Breathing</w:t>
      </w:r>
    </w:p>
    <w:p w:rsidR="0085716E" w:rsidRPr="00303DD3" w:rsidRDefault="0085716E" w:rsidP="00B01DAD">
      <w:r w:rsidRPr="00303DD3">
        <w:t>Ensure breathing adequate and monitor RR and SpO</w:t>
      </w:r>
      <w:r w:rsidRPr="0085143B">
        <w:rPr>
          <w:vertAlign w:val="subscript"/>
        </w:rPr>
        <w:t>2</w:t>
      </w:r>
      <w:r w:rsidRPr="00303DD3">
        <w:t>. Treat using ATLS principles</w:t>
      </w:r>
      <w:r>
        <w:t xml:space="preserve"> (APLS for paediatrics)</w:t>
      </w:r>
    </w:p>
    <w:p w:rsidR="0085716E" w:rsidRPr="00303DD3" w:rsidRDefault="0085716E" w:rsidP="00B01DAD"/>
    <w:p w:rsidR="0085716E" w:rsidRPr="00303DD3" w:rsidRDefault="0085716E" w:rsidP="00B01DAD">
      <w:pPr>
        <w:rPr>
          <w:b/>
        </w:rPr>
      </w:pPr>
      <w:r>
        <w:rPr>
          <w:b/>
        </w:rPr>
        <w:t>1.2.4 C (Circulation)</w:t>
      </w:r>
    </w:p>
    <w:p w:rsidR="0085716E" w:rsidRPr="00303DD3" w:rsidRDefault="0085716E" w:rsidP="0042631B">
      <w:pPr>
        <w:numPr>
          <w:ilvl w:val="0"/>
          <w:numId w:val="11"/>
        </w:numPr>
      </w:pPr>
      <w:r w:rsidRPr="00303DD3">
        <w:t>Insert wide bore peripheral cannulae and take blood samples including a venous gas.</w:t>
      </w:r>
    </w:p>
    <w:p w:rsidR="0085716E" w:rsidRPr="00303DD3" w:rsidRDefault="0085716E" w:rsidP="0042631B">
      <w:pPr>
        <w:numPr>
          <w:ilvl w:val="0"/>
          <w:numId w:val="11"/>
        </w:numPr>
      </w:pPr>
      <w:r w:rsidRPr="00303DD3">
        <w:t>Institute basic monitoring: P, BP, ECG if available.</w:t>
      </w:r>
    </w:p>
    <w:p w:rsidR="0085716E" w:rsidRPr="00303DD3" w:rsidRDefault="0085716E" w:rsidP="0042631B">
      <w:pPr>
        <w:numPr>
          <w:ilvl w:val="0"/>
          <w:numId w:val="11"/>
        </w:numPr>
      </w:pPr>
      <w:r w:rsidRPr="00303DD3">
        <w:t>Arrest bleeding:</w:t>
      </w:r>
    </w:p>
    <w:p w:rsidR="0085716E" w:rsidRPr="00303DD3" w:rsidRDefault="0085716E" w:rsidP="0042631B">
      <w:pPr>
        <w:numPr>
          <w:ilvl w:val="0"/>
          <w:numId w:val="11"/>
        </w:numPr>
      </w:pPr>
      <w:r w:rsidRPr="00303DD3">
        <w:t>Early surgical/radiological/endoscopic intervention</w:t>
      </w:r>
      <w:r>
        <w:t>.</w:t>
      </w:r>
    </w:p>
    <w:p w:rsidR="0085716E" w:rsidRPr="00303DD3" w:rsidRDefault="0085716E" w:rsidP="0042631B">
      <w:pPr>
        <w:numPr>
          <w:ilvl w:val="0"/>
          <w:numId w:val="11"/>
        </w:numPr>
      </w:pPr>
      <w:r w:rsidRPr="00303DD3">
        <w:t>If external bleeding apply pressure/tourniquet as appropriate.</w:t>
      </w:r>
    </w:p>
    <w:p w:rsidR="0085716E" w:rsidRPr="00303DD3" w:rsidRDefault="0085716E" w:rsidP="0042631B">
      <w:pPr>
        <w:numPr>
          <w:ilvl w:val="0"/>
          <w:numId w:val="11"/>
        </w:numPr>
      </w:pPr>
      <w:r w:rsidRPr="00303DD3">
        <w:t>Monitor CVP and arterial line if possible.</w:t>
      </w:r>
    </w:p>
    <w:p w:rsidR="0085716E" w:rsidRPr="00303DD3" w:rsidRDefault="0085716E" w:rsidP="0042631B">
      <w:pPr>
        <w:numPr>
          <w:ilvl w:val="0"/>
          <w:numId w:val="11"/>
        </w:numPr>
      </w:pPr>
      <w:r w:rsidRPr="00303DD3">
        <w:t xml:space="preserve">For patients with </w:t>
      </w:r>
      <w:r w:rsidRPr="00303DD3">
        <w:rPr>
          <w:b/>
        </w:rPr>
        <w:t>ongoing losses</w:t>
      </w:r>
      <w:r w:rsidRPr="00303DD3">
        <w:t xml:space="preserve"> in whom h</w:t>
      </w:r>
      <w:r>
        <w:t xml:space="preserve">aemostasis will be achieved by </w:t>
      </w:r>
      <w:r w:rsidRPr="00FF268D">
        <w:rPr>
          <w:b/>
        </w:rPr>
        <w:t>su</w:t>
      </w:r>
      <w:r w:rsidRPr="00303DD3">
        <w:rPr>
          <w:b/>
        </w:rPr>
        <w:t>rgical/radiological/endoscopic</w:t>
      </w:r>
      <w:r w:rsidRPr="00303DD3">
        <w:t xml:space="preserve"> intervention, use “hypotensive resuscitation” until haemostasis can be achieved</w:t>
      </w:r>
      <w:r>
        <w:rPr>
          <w:vertAlign w:val="superscript"/>
        </w:rPr>
        <w:t>3</w:t>
      </w:r>
      <w:r w:rsidRPr="00303DD3">
        <w:t xml:space="preserve">. Aim for a blood Pressure adequate to maintain conscious level (usually a systolic pressure </w:t>
      </w:r>
      <w:r w:rsidRPr="00303DD3">
        <w:rPr>
          <w:b/>
        </w:rPr>
        <w:t>90-100 mmHg</w:t>
      </w:r>
      <w:r w:rsidRPr="00303DD3">
        <w:t>).</w:t>
      </w:r>
      <w:r>
        <w:t xml:space="preserve">  </w:t>
      </w:r>
      <w:r w:rsidRPr="00303DD3">
        <w:t>In a ventilated patient aim for a systolic of 90mmHG. Once haemostasis has been achieved, patients should be resuscitated to normal haemodynamic values.</w:t>
      </w:r>
      <w:r w:rsidRPr="00771CDF">
        <w:t xml:space="preserve"> </w:t>
      </w:r>
      <w:r>
        <w:t xml:space="preserve">For children, aim for BP values </w:t>
      </w:r>
      <w:r w:rsidRPr="00303DD3">
        <w:t xml:space="preserve"> </w:t>
      </w:r>
      <w:r>
        <w:t xml:space="preserve">referenced in Table 1 on page 21 (section 5.2.1) </w:t>
      </w:r>
      <w:r w:rsidRPr="00303DD3">
        <w:rPr>
          <w:b/>
        </w:rPr>
        <w:t>Hypotensive resuscitation is not appropriate for patients with an associated head injury;</w:t>
      </w:r>
      <w:r w:rsidRPr="00303DD3">
        <w:t xml:space="preserve"> such patients should have a mean arterial pressure of at least 90mmHg.</w:t>
      </w:r>
    </w:p>
    <w:p w:rsidR="0085716E" w:rsidRPr="00303DD3" w:rsidRDefault="0085716E" w:rsidP="0042631B">
      <w:pPr>
        <w:numPr>
          <w:ilvl w:val="0"/>
          <w:numId w:val="11"/>
        </w:numPr>
      </w:pPr>
      <w:r w:rsidRPr="00303DD3">
        <w:t xml:space="preserve">Keep the patient warm. Dry the patient and keep them covered as much as possible. Use warm fluids and a warm air blanker. All intravenous fluids should be warmed using equipment designed for that purpose. Use a level one infuser (or equivalent) when available to ensure warm blood given. </w:t>
      </w:r>
    </w:p>
    <w:p w:rsidR="0085716E" w:rsidRPr="00303DD3" w:rsidRDefault="0085716E" w:rsidP="0042631B">
      <w:pPr>
        <w:numPr>
          <w:ilvl w:val="0"/>
          <w:numId w:val="11"/>
        </w:numPr>
      </w:pPr>
      <w:r>
        <w:t>N</w:t>
      </w:r>
      <w:r w:rsidRPr="00303DD3">
        <w:t>ormocalcaemia, and a pH&gt;7.2 must be maintained</w:t>
      </w:r>
    </w:p>
    <w:p w:rsidR="0085716E" w:rsidRPr="00303DD3" w:rsidRDefault="0085716E" w:rsidP="00B01DAD"/>
    <w:p w:rsidR="0085716E" w:rsidRPr="00EB0ADD" w:rsidRDefault="0085716E" w:rsidP="00B01DAD">
      <w:pPr>
        <w:rPr>
          <w:b/>
        </w:rPr>
      </w:pPr>
      <w:r w:rsidRPr="00EB0ADD">
        <w:rPr>
          <w:b/>
        </w:rPr>
        <w:t>1.2.5 Tourniquet use</w:t>
      </w:r>
    </w:p>
    <w:p w:rsidR="0085716E" w:rsidRPr="00303DD3" w:rsidRDefault="0085716E" w:rsidP="0042631B">
      <w:pPr>
        <w:numPr>
          <w:ilvl w:val="0"/>
          <w:numId w:val="12"/>
        </w:numPr>
      </w:pPr>
      <w:r w:rsidRPr="00303DD3">
        <w:t xml:space="preserve">It is appropriate to use a tourniquet in a shocked patient with a </w:t>
      </w:r>
      <w:r>
        <w:t>major</w:t>
      </w:r>
      <w:r w:rsidRPr="00303DD3">
        <w:t xml:space="preserve"> bleed from a limb wound/amputation where direct pressure and elevation are unsuccessful in controlling the bleed. </w:t>
      </w:r>
    </w:p>
    <w:p w:rsidR="0085716E" w:rsidRPr="00303DD3" w:rsidRDefault="0085716E" w:rsidP="0042631B">
      <w:pPr>
        <w:numPr>
          <w:ilvl w:val="0"/>
          <w:numId w:val="12"/>
        </w:numPr>
      </w:pPr>
      <w:r w:rsidRPr="00303DD3">
        <w:t xml:space="preserve">Appropriate devices such as the combat action tourniquet or equivalent are the ideal; if not available, a normal sphygmomanometer blown up above arterial pressure will suffice. </w:t>
      </w:r>
    </w:p>
    <w:p w:rsidR="0085716E" w:rsidRPr="00303DD3" w:rsidRDefault="0085716E" w:rsidP="0042631B">
      <w:pPr>
        <w:numPr>
          <w:ilvl w:val="0"/>
          <w:numId w:val="12"/>
        </w:numPr>
      </w:pPr>
      <w:r w:rsidRPr="00303DD3">
        <w:t xml:space="preserve">Use proximal to the bleeding site, but as distal as practically possible to control bleeding. </w:t>
      </w:r>
    </w:p>
    <w:p w:rsidR="0085716E" w:rsidRPr="00303DD3" w:rsidRDefault="0085716E" w:rsidP="0042631B">
      <w:pPr>
        <w:numPr>
          <w:ilvl w:val="0"/>
          <w:numId w:val="12"/>
        </w:numPr>
      </w:pPr>
      <w:r w:rsidRPr="00303DD3">
        <w:t>It should not be applied over joints as this is unlikely to work. It can be difficult to obtain control when placed over the forearm or lower leg because of the structure (two bones) and if control is not reached in these sites the cuff should be moved more proximally.</w:t>
      </w:r>
    </w:p>
    <w:p w:rsidR="0085716E" w:rsidRPr="00303DD3" w:rsidRDefault="0085716E" w:rsidP="0042631B">
      <w:pPr>
        <w:numPr>
          <w:ilvl w:val="0"/>
          <w:numId w:val="12"/>
        </w:numPr>
        <w:rPr>
          <w:b/>
        </w:rPr>
      </w:pPr>
      <w:r w:rsidRPr="00303DD3">
        <w:rPr>
          <w:b/>
        </w:rPr>
        <w:t>The time of application of the tourniquet MUST be recorded.</w:t>
      </w:r>
    </w:p>
    <w:p w:rsidR="0085716E" w:rsidRPr="00303DD3" w:rsidRDefault="0085716E" w:rsidP="0042631B">
      <w:pPr>
        <w:numPr>
          <w:ilvl w:val="0"/>
          <w:numId w:val="12"/>
        </w:numPr>
      </w:pPr>
      <w:r w:rsidRPr="00303DD3">
        <w:t>Definitive surgical care to allow removal of the tourniquet must be a priority following tourniquet use.</w:t>
      </w:r>
    </w:p>
    <w:p w:rsidR="0085716E" w:rsidRPr="00303DD3" w:rsidRDefault="0085716E" w:rsidP="00B01DAD"/>
    <w:p w:rsidR="0085716E" w:rsidRPr="00303DD3" w:rsidRDefault="0085716E" w:rsidP="00B01DAD">
      <w:r w:rsidRPr="00303DD3">
        <w:t xml:space="preserve">Departments may find it useful to produce a </w:t>
      </w:r>
      <w:r>
        <w:t>Major</w:t>
      </w:r>
      <w:r w:rsidRPr="00303DD3">
        <w:t xml:space="preserve"> Haemorrhage Equipment pack to contain all the necessary equipment for use in </w:t>
      </w:r>
      <w:r>
        <w:t>major</w:t>
      </w:r>
      <w:r w:rsidRPr="00303DD3">
        <w:t xml:space="preserve"> transfusion situations. </w:t>
      </w:r>
    </w:p>
    <w:p w:rsidR="0085716E" w:rsidRPr="00303DD3" w:rsidRDefault="0085716E" w:rsidP="00B01DAD"/>
    <w:p w:rsidR="0085716E" w:rsidRPr="00303DD3" w:rsidRDefault="0085716E" w:rsidP="00B01DAD">
      <w:pPr>
        <w:rPr>
          <w:b/>
        </w:rPr>
      </w:pPr>
      <w:r>
        <w:rPr>
          <w:b/>
        </w:rPr>
        <w:t xml:space="preserve">1.3 </w:t>
      </w:r>
      <w:r w:rsidRPr="00303DD3">
        <w:rPr>
          <w:b/>
        </w:rPr>
        <w:t>Transfusion Goals in patients actively bleeding</w:t>
      </w:r>
    </w:p>
    <w:p w:rsidR="0085716E" w:rsidRDefault="0085716E" w:rsidP="0042631B">
      <w:pPr>
        <w:numPr>
          <w:ilvl w:val="0"/>
          <w:numId w:val="13"/>
        </w:numPr>
      </w:pPr>
      <w:r w:rsidRPr="00303DD3">
        <w:t>Hb</w:t>
      </w:r>
      <w:r>
        <w:t xml:space="preserve"> 80-</w:t>
      </w:r>
      <w:r w:rsidRPr="00303DD3">
        <w:t>10</w:t>
      </w:r>
      <w:r>
        <w:t>0</w:t>
      </w:r>
      <w:r w:rsidRPr="00303DD3">
        <w:t xml:space="preserve">g/L </w:t>
      </w:r>
      <w:r>
        <w:t xml:space="preserve"> (&gt;100g/L if actively bleeding)</w:t>
      </w:r>
    </w:p>
    <w:p w:rsidR="0085716E" w:rsidRPr="00303DD3" w:rsidRDefault="0085716E" w:rsidP="0042631B">
      <w:pPr>
        <w:numPr>
          <w:ilvl w:val="0"/>
          <w:numId w:val="13"/>
        </w:numPr>
      </w:pPr>
      <w:r w:rsidRPr="00303DD3">
        <w:t>Fibrinogen &gt;1.</w:t>
      </w:r>
      <w:r>
        <w:t>5</w:t>
      </w:r>
      <w:r w:rsidRPr="00303DD3">
        <w:t xml:space="preserve">g/L. </w:t>
      </w:r>
    </w:p>
    <w:p w:rsidR="0085716E" w:rsidRPr="00303DD3" w:rsidRDefault="0085716E" w:rsidP="0042631B">
      <w:pPr>
        <w:numPr>
          <w:ilvl w:val="0"/>
          <w:numId w:val="13"/>
        </w:numPr>
      </w:pPr>
      <w:r w:rsidRPr="00303DD3">
        <w:t>Platelets  &gt;75</w:t>
      </w:r>
      <w:r>
        <w:t xml:space="preserve"> </w:t>
      </w:r>
      <w:r w:rsidRPr="00303DD3">
        <w:t>x</w:t>
      </w:r>
      <w:r>
        <w:t xml:space="preserve"> </w:t>
      </w:r>
      <w:r w:rsidRPr="00303DD3">
        <w:t>10</w:t>
      </w:r>
      <w:r w:rsidRPr="00303DD3">
        <w:rPr>
          <w:vertAlign w:val="superscript"/>
        </w:rPr>
        <w:t>9</w:t>
      </w:r>
      <w:r w:rsidRPr="00303DD3">
        <w:t>/L except in head trauma where should be &gt;100</w:t>
      </w:r>
      <w:r>
        <w:t xml:space="preserve"> </w:t>
      </w:r>
      <w:r w:rsidRPr="00303DD3">
        <w:t>x</w:t>
      </w:r>
      <w:r>
        <w:t xml:space="preserve"> </w:t>
      </w:r>
      <w:r w:rsidRPr="00303DD3">
        <w:t>10</w:t>
      </w:r>
      <w:r w:rsidRPr="00303DD3">
        <w:rPr>
          <w:vertAlign w:val="superscript"/>
        </w:rPr>
        <w:t>9</w:t>
      </w:r>
      <w:r w:rsidRPr="00303DD3">
        <w:t>/L.</w:t>
      </w:r>
    </w:p>
    <w:p w:rsidR="0085716E" w:rsidRPr="00303DD3" w:rsidRDefault="0085716E" w:rsidP="0042631B">
      <w:pPr>
        <w:numPr>
          <w:ilvl w:val="0"/>
          <w:numId w:val="13"/>
        </w:numPr>
      </w:pPr>
      <w:r w:rsidRPr="00303DD3">
        <w:t xml:space="preserve">PT &amp; APTT ratio &lt;1.5 </w:t>
      </w:r>
    </w:p>
    <w:p w:rsidR="0085716E" w:rsidRDefault="0085716E" w:rsidP="0042631B">
      <w:pPr>
        <w:numPr>
          <w:ilvl w:val="0"/>
          <w:numId w:val="13"/>
        </w:numPr>
      </w:pPr>
      <w:r w:rsidRPr="00303DD3">
        <w:t>Ca</w:t>
      </w:r>
      <w:r w:rsidRPr="00F77157">
        <w:rPr>
          <w:vertAlign w:val="superscript"/>
        </w:rPr>
        <w:t>2+</w:t>
      </w:r>
      <w:r w:rsidRPr="00303DD3">
        <w:t xml:space="preserve"> ≥ </w:t>
      </w:r>
      <w:r>
        <w:t>1</w:t>
      </w:r>
      <w:r w:rsidRPr="00303DD3">
        <w:t xml:space="preserve"> mmol/L</w:t>
      </w:r>
    </w:p>
    <w:p w:rsidR="0085716E" w:rsidRDefault="0085716E" w:rsidP="00B01DAD"/>
    <w:p w:rsidR="0085716E" w:rsidRPr="00303DD3" w:rsidRDefault="0085716E" w:rsidP="00B01DAD">
      <w:r>
        <w:t xml:space="preserve">Tranexamic acid: As per CRASH-2 study </w:t>
      </w:r>
      <w:r>
        <w:rPr>
          <w:vertAlign w:val="superscript"/>
        </w:rPr>
        <w:t>4</w:t>
      </w:r>
      <w:r>
        <w:t xml:space="preserve"> 1g over 10 mins, then 1g in infusion over 8 hours – give within 3 hours of injury and ideally within 1 hour</w:t>
      </w:r>
    </w:p>
    <w:p w:rsidR="0085716E" w:rsidRPr="00303DD3" w:rsidRDefault="0085716E" w:rsidP="00B01DAD"/>
    <w:p w:rsidR="0085716E" w:rsidRPr="00303DD3" w:rsidRDefault="0085716E" w:rsidP="00B01DAD"/>
    <w:p w:rsidR="0085716E" w:rsidRPr="00303DD3" w:rsidRDefault="0085716E" w:rsidP="00B01DAD">
      <w:r w:rsidRPr="00303DD3">
        <w:fldChar w:fldCharType="begin"/>
      </w:r>
      <w:r w:rsidRPr="00303DD3">
        <w:instrText xml:space="preserve"> ADDIN REFMGR.REFLIST </w:instrText>
      </w:r>
      <w:r w:rsidRPr="00303DD3">
        <w:fldChar w:fldCharType="separate"/>
      </w:r>
    </w:p>
    <w:p w:rsidR="0085716E" w:rsidRDefault="0085716E" w:rsidP="00B01DAD">
      <w:r w:rsidRPr="00303DD3">
        <w:fldChar w:fldCharType="end"/>
      </w:r>
    </w:p>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Default="0085716E" w:rsidP="00B01DAD"/>
    <w:p w:rsidR="0085716E" w:rsidRPr="006B321A" w:rsidRDefault="0085716E" w:rsidP="00771CDF">
      <w:pPr>
        <w:numPr>
          <w:ilvl w:val="1"/>
          <w:numId w:val="1"/>
        </w:numPr>
        <w:rPr>
          <w:b/>
        </w:rPr>
      </w:pPr>
      <w:r w:rsidRPr="006B321A">
        <w:rPr>
          <w:b/>
        </w:rPr>
        <w:t>General and vascular surgery</w:t>
      </w:r>
    </w:p>
    <w:p w:rsidR="0085716E" w:rsidRDefault="0085716E" w:rsidP="00B01DAD">
      <w:pPr>
        <w:outlineLvl w:val="0"/>
      </w:pPr>
    </w:p>
    <w:p w:rsidR="0085716E" w:rsidRDefault="0085716E" w:rsidP="00B01DAD">
      <w:pPr>
        <w:outlineLvl w:val="0"/>
        <w:rPr>
          <w:b/>
        </w:rPr>
      </w:pPr>
      <w:r>
        <w:rPr>
          <w:b/>
        </w:rPr>
        <w:t>2.1 Who should be included in the team?</w:t>
      </w:r>
    </w:p>
    <w:p w:rsidR="0085716E" w:rsidRDefault="0085716E" w:rsidP="00B01DAD">
      <w:pPr>
        <w:rPr>
          <w:rFonts w:cs="Arial"/>
        </w:rPr>
      </w:pPr>
      <w:r w:rsidRPr="00C47DEA">
        <w:rPr>
          <w:rFonts w:cs="Arial"/>
        </w:rPr>
        <w:t xml:space="preserve">The clinician who identifies the need </w:t>
      </w:r>
      <w:r w:rsidRPr="009D3EEC">
        <w:t xml:space="preserve">for a </w:t>
      </w:r>
      <w:r>
        <w:t>major</w:t>
      </w:r>
      <w:r w:rsidRPr="009D3EEC">
        <w:t xml:space="preserve"> transfusion</w:t>
      </w:r>
      <w:r w:rsidRPr="00C47DEA">
        <w:rPr>
          <w:rFonts w:cs="Arial"/>
        </w:rPr>
        <w:t xml:space="preserve"> episode should seek appropriate assistance from senior colleagues and/or other </w:t>
      </w:r>
      <w:r w:rsidRPr="004A0E00">
        <w:rPr>
          <w:rFonts w:cs="Arial"/>
        </w:rPr>
        <w:t>medical</w:t>
      </w:r>
      <w:r w:rsidRPr="00C47DEA">
        <w:rPr>
          <w:rFonts w:cs="Arial"/>
        </w:rPr>
        <w:t xml:space="preserve"> specialties/disciplines. A </w:t>
      </w:r>
      <w:r>
        <w:rPr>
          <w:rFonts w:cs="Arial"/>
        </w:rPr>
        <w:t xml:space="preserve">consultant </w:t>
      </w:r>
      <w:r w:rsidRPr="00C47DEA">
        <w:rPr>
          <w:rFonts w:cs="Arial"/>
        </w:rPr>
        <w:t xml:space="preserve">vascular and/or general surgeon and a consultant anaesthetist should be informed as soon as a </w:t>
      </w:r>
      <w:r>
        <w:rPr>
          <w:rFonts w:cs="Arial"/>
        </w:rPr>
        <w:t>major</w:t>
      </w:r>
      <w:r w:rsidRPr="00C47DEA">
        <w:rPr>
          <w:rFonts w:cs="Arial"/>
        </w:rPr>
        <w:t xml:space="preserve"> transfusion is expected to be required.</w:t>
      </w:r>
    </w:p>
    <w:p w:rsidR="0085716E" w:rsidRDefault="0085716E" w:rsidP="00B01DAD">
      <w:pPr>
        <w:outlineLvl w:val="0"/>
        <w:rPr>
          <w:b/>
        </w:rPr>
      </w:pPr>
      <w:r w:rsidRPr="00C47DEA">
        <w:rPr>
          <w:rFonts w:cs="Arial"/>
        </w:rPr>
        <w:t>It is the responsibility of the Duty Haematologist to provide advice and support to the managing doctor during such an episode</w:t>
      </w:r>
    </w:p>
    <w:p w:rsidR="0085716E" w:rsidRDefault="0085716E" w:rsidP="00B01DAD">
      <w:pPr>
        <w:outlineLvl w:val="0"/>
        <w:rPr>
          <w:b/>
        </w:rPr>
      </w:pPr>
    </w:p>
    <w:p w:rsidR="0085716E" w:rsidRDefault="0085716E" w:rsidP="00B01DAD">
      <w:pPr>
        <w:outlineLvl w:val="0"/>
        <w:rPr>
          <w:b/>
        </w:rPr>
      </w:pPr>
      <w:r>
        <w:rPr>
          <w:b/>
        </w:rPr>
        <w:t>2.2 Additional management aspects</w:t>
      </w:r>
    </w:p>
    <w:p w:rsidR="0085716E" w:rsidRDefault="0085716E" w:rsidP="0085143B">
      <w:pPr>
        <w:numPr>
          <w:ilvl w:val="0"/>
          <w:numId w:val="2"/>
        </w:numPr>
        <w:tabs>
          <w:tab w:val="clear" w:pos="360"/>
          <w:tab w:val="num" w:pos="720"/>
        </w:tabs>
        <w:ind w:left="720" w:hanging="720"/>
        <w:rPr>
          <w:rFonts w:cs="Arial"/>
        </w:rPr>
      </w:pPr>
      <w:r w:rsidRPr="00C47DEA">
        <w:rPr>
          <w:rFonts w:cs="Arial"/>
        </w:rPr>
        <w:t>If the patient is expected to go to critical care, critical care should be informed early.</w:t>
      </w:r>
    </w:p>
    <w:p w:rsidR="0085716E" w:rsidRDefault="0085716E" w:rsidP="0085143B">
      <w:pPr>
        <w:numPr>
          <w:ilvl w:val="0"/>
          <w:numId w:val="2"/>
        </w:numPr>
        <w:tabs>
          <w:tab w:val="clear" w:pos="360"/>
          <w:tab w:val="num" w:pos="720"/>
        </w:tabs>
        <w:ind w:left="720" w:hanging="720"/>
        <w:rPr>
          <w:rFonts w:cs="Arial"/>
        </w:rPr>
      </w:pPr>
      <w:r>
        <w:rPr>
          <w:rFonts w:cs="Arial"/>
        </w:rPr>
        <w:t xml:space="preserve"> </w:t>
      </w:r>
      <w:r w:rsidRPr="00C47DEA">
        <w:rPr>
          <w:rFonts w:cs="Arial"/>
          <w:bCs/>
        </w:rPr>
        <w:t>General Measures</w:t>
      </w:r>
      <w:r>
        <w:rPr>
          <w:rFonts w:cs="Arial"/>
          <w:bCs/>
        </w:rPr>
        <w:tab/>
      </w:r>
    </w:p>
    <w:p w:rsidR="0085716E" w:rsidRDefault="0085716E" w:rsidP="00B01DAD">
      <w:pPr>
        <w:ind w:left="720" w:hanging="720"/>
        <w:rPr>
          <w:rFonts w:cs="Arial"/>
        </w:rPr>
      </w:pPr>
      <w:r>
        <w:rPr>
          <w:rFonts w:cs="Arial"/>
          <w:bCs/>
        </w:rPr>
        <w:tab/>
      </w:r>
      <w:r w:rsidRPr="00C47DEA">
        <w:rPr>
          <w:rFonts w:cs="Arial"/>
        </w:rPr>
        <w:t>The cornerstone of management is an ABCDE Approach.</w:t>
      </w:r>
    </w:p>
    <w:p w:rsidR="0085716E" w:rsidRPr="00C47DEA" w:rsidRDefault="0085716E" w:rsidP="00B01DAD">
      <w:pPr>
        <w:rPr>
          <w:rFonts w:cs="Arial"/>
        </w:rPr>
      </w:pPr>
    </w:p>
    <w:p w:rsidR="0085716E" w:rsidRPr="00564F1F" w:rsidRDefault="0085716E" w:rsidP="00B01DAD">
      <w:pPr>
        <w:rPr>
          <w:rFonts w:cs="Arial"/>
          <w:b/>
        </w:rPr>
      </w:pPr>
      <w:r>
        <w:rPr>
          <w:rFonts w:cs="Arial"/>
          <w:b/>
        </w:rPr>
        <w:t>2.2.1 A, B (Airway and Breathing)</w:t>
      </w:r>
    </w:p>
    <w:p w:rsidR="0085716E" w:rsidRDefault="0085716E" w:rsidP="00B01DAD">
      <w:pPr>
        <w:rPr>
          <w:rFonts w:cs="Arial"/>
        </w:rPr>
      </w:pPr>
      <w:r w:rsidRPr="00C47DEA">
        <w:rPr>
          <w:rFonts w:cs="Arial"/>
        </w:rPr>
        <w:t>Ensure the patient has a patent airway and is breathing adequately, ensure adequate oxygenation and monitor SpO</w:t>
      </w:r>
      <w:r w:rsidRPr="0085143B">
        <w:rPr>
          <w:rFonts w:cs="Arial"/>
          <w:vertAlign w:val="subscript"/>
        </w:rPr>
        <w:t>2</w:t>
      </w:r>
      <w:r w:rsidRPr="00C47DEA">
        <w:rPr>
          <w:rFonts w:cs="Arial"/>
        </w:rPr>
        <w:t>.</w:t>
      </w:r>
    </w:p>
    <w:p w:rsidR="0085716E" w:rsidRDefault="0085716E" w:rsidP="00B01DAD">
      <w:pPr>
        <w:rPr>
          <w:rFonts w:cs="Arial"/>
        </w:rPr>
      </w:pPr>
      <w:r w:rsidRPr="00C47DEA">
        <w:rPr>
          <w:rFonts w:cs="Arial"/>
        </w:rPr>
        <w:t>Give High flow Oxygen (Mask with reservoir, 15L/min) if not intubated and ventilated.</w:t>
      </w:r>
    </w:p>
    <w:p w:rsidR="0085716E" w:rsidRPr="00564F1F" w:rsidRDefault="0085716E" w:rsidP="00B01DAD">
      <w:pPr>
        <w:rPr>
          <w:rFonts w:cs="Arial"/>
          <w:color w:val="993366"/>
        </w:rPr>
      </w:pPr>
    </w:p>
    <w:p w:rsidR="0085716E" w:rsidRPr="00564F1F" w:rsidRDefault="0085716E" w:rsidP="00B01DAD">
      <w:pPr>
        <w:rPr>
          <w:rFonts w:cs="Arial"/>
          <w:b/>
        </w:rPr>
      </w:pPr>
      <w:r>
        <w:rPr>
          <w:rFonts w:cs="Arial"/>
          <w:b/>
        </w:rPr>
        <w:t>2.2.2 C (Circulation)</w:t>
      </w:r>
    </w:p>
    <w:p w:rsidR="0085716E" w:rsidRPr="00C47DEA" w:rsidRDefault="0085716E" w:rsidP="0042631B">
      <w:pPr>
        <w:pStyle w:val="ListParagraph"/>
        <w:numPr>
          <w:ilvl w:val="0"/>
          <w:numId w:val="14"/>
        </w:numPr>
        <w:rPr>
          <w:rFonts w:ascii="Arial" w:hAnsi="Arial" w:cs="Arial"/>
          <w:lang w:val="en-GB"/>
        </w:rPr>
      </w:pPr>
      <w:r w:rsidRPr="00C47DEA">
        <w:rPr>
          <w:rFonts w:ascii="Arial" w:hAnsi="Arial" w:cs="Arial"/>
          <w:lang w:val="en-GB"/>
        </w:rPr>
        <w:t>Insert wide bore peripheral cannulae.</w:t>
      </w:r>
    </w:p>
    <w:p w:rsidR="0085716E" w:rsidRDefault="0085716E" w:rsidP="0042631B">
      <w:pPr>
        <w:pStyle w:val="ListParagraph"/>
        <w:numPr>
          <w:ilvl w:val="0"/>
          <w:numId w:val="14"/>
        </w:numPr>
        <w:rPr>
          <w:rFonts w:ascii="Arial" w:hAnsi="Arial" w:cs="Arial"/>
          <w:lang w:val="en-GB"/>
        </w:rPr>
      </w:pPr>
      <w:r w:rsidRPr="00C47DEA">
        <w:rPr>
          <w:rFonts w:ascii="Arial" w:hAnsi="Arial" w:cs="Arial"/>
          <w:lang w:val="en-GB"/>
        </w:rPr>
        <w:t>Institute basic monitoring: P, BP, ECG if available.</w:t>
      </w:r>
    </w:p>
    <w:p w:rsidR="0085716E" w:rsidRDefault="0085716E" w:rsidP="0042631B">
      <w:pPr>
        <w:pStyle w:val="ListParagraph"/>
        <w:numPr>
          <w:ilvl w:val="0"/>
          <w:numId w:val="14"/>
        </w:numPr>
        <w:rPr>
          <w:rFonts w:ascii="Arial" w:hAnsi="Arial" w:cs="Arial"/>
          <w:lang w:val="en-GB"/>
        </w:rPr>
      </w:pPr>
      <w:r w:rsidRPr="00C47DEA">
        <w:rPr>
          <w:rFonts w:ascii="Arial" w:hAnsi="Arial" w:cs="Arial"/>
          <w:lang w:val="en-GB"/>
        </w:rPr>
        <w:t>Monitor CVP if possible</w:t>
      </w:r>
    </w:p>
    <w:p w:rsidR="0085716E" w:rsidRPr="00C47DEA" w:rsidRDefault="0085716E" w:rsidP="0042631B">
      <w:pPr>
        <w:pStyle w:val="ListParagraph"/>
        <w:numPr>
          <w:ilvl w:val="0"/>
          <w:numId w:val="14"/>
        </w:numPr>
        <w:rPr>
          <w:rFonts w:ascii="Arial" w:hAnsi="Arial" w:cs="Arial"/>
          <w:lang w:val="en-GB"/>
        </w:rPr>
      </w:pPr>
      <w:r w:rsidRPr="00C47DEA">
        <w:rPr>
          <w:rFonts w:ascii="Arial" w:hAnsi="Arial" w:cs="Arial"/>
          <w:lang w:val="en-GB"/>
        </w:rPr>
        <w:t>Arrest bleeding:</w:t>
      </w:r>
    </w:p>
    <w:p w:rsidR="0085716E" w:rsidRPr="00C47DEA" w:rsidRDefault="0085716E" w:rsidP="0042631B">
      <w:pPr>
        <w:numPr>
          <w:ilvl w:val="0"/>
          <w:numId w:val="14"/>
        </w:numPr>
        <w:rPr>
          <w:rFonts w:cs="Arial"/>
        </w:rPr>
      </w:pPr>
      <w:r w:rsidRPr="00C47DEA">
        <w:rPr>
          <w:rFonts w:cs="Arial"/>
        </w:rPr>
        <w:t>Early surgical/radiological/endoscopic intervention</w:t>
      </w:r>
    </w:p>
    <w:p w:rsidR="0085716E" w:rsidRDefault="0085716E" w:rsidP="0042631B">
      <w:pPr>
        <w:numPr>
          <w:ilvl w:val="0"/>
          <w:numId w:val="14"/>
        </w:numPr>
        <w:rPr>
          <w:rFonts w:cs="Arial"/>
        </w:rPr>
      </w:pPr>
      <w:r w:rsidRPr="00C47DEA">
        <w:rPr>
          <w:rFonts w:cs="Arial"/>
        </w:rPr>
        <w:t>If external bleeding apply pressure/tourniquet as appropriate.</w:t>
      </w:r>
    </w:p>
    <w:p w:rsidR="0085716E" w:rsidRDefault="0085716E" w:rsidP="0042631B">
      <w:pPr>
        <w:pStyle w:val="ListParagraph"/>
        <w:numPr>
          <w:ilvl w:val="0"/>
          <w:numId w:val="14"/>
        </w:numPr>
        <w:rPr>
          <w:rFonts w:ascii="Arial" w:hAnsi="Arial" w:cs="Arial"/>
          <w:lang w:val="en-GB"/>
        </w:rPr>
      </w:pPr>
      <w:r w:rsidRPr="00C47DEA">
        <w:rPr>
          <w:rFonts w:ascii="Arial" w:hAnsi="Arial" w:cs="Arial"/>
          <w:lang w:val="en-GB"/>
        </w:rPr>
        <w:t xml:space="preserve">For patients with </w:t>
      </w:r>
      <w:r w:rsidRPr="00C47DEA">
        <w:rPr>
          <w:rFonts w:ascii="Arial" w:hAnsi="Arial" w:cs="Arial"/>
          <w:b/>
          <w:lang w:val="en-GB"/>
        </w:rPr>
        <w:t>ongoing losses</w:t>
      </w:r>
      <w:r w:rsidRPr="00C47DEA">
        <w:rPr>
          <w:rFonts w:ascii="Arial" w:hAnsi="Arial" w:cs="Arial"/>
          <w:lang w:val="en-GB"/>
        </w:rPr>
        <w:t xml:space="preserve"> in whom haemostasis will be achieved by </w:t>
      </w:r>
      <w:r w:rsidRPr="00564F1F">
        <w:rPr>
          <w:rFonts w:ascii="Arial" w:hAnsi="Arial" w:cs="Arial"/>
          <w:b/>
          <w:lang w:val="en-GB"/>
        </w:rPr>
        <w:t>s</w:t>
      </w:r>
      <w:r w:rsidRPr="00C47DEA">
        <w:rPr>
          <w:rFonts w:ascii="Arial" w:hAnsi="Arial" w:cs="Arial"/>
          <w:b/>
          <w:lang w:val="en-GB"/>
        </w:rPr>
        <w:t>urgical/radiological/endoscopic</w:t>
      </w:r>
      <w:r w:rsidRPr="00C47DEA">
        <w:rPr>
          <w:rFonts w:ascii="Arial" w:hAnsi="Arial" w:cs="Arial"/>
          <w:lang w:val="en-GB"/>
        </w:rPr>
        <w:t xml:space="preserve"> intervention, use “hypotensive resuscitation” until haemostasis can be achieved. Aim for a blood Pressure adequate to maintain conscious level (usually a systolic pressure </w:t>
      </w:r>
      <w:r w:rsidRPr="00C47DEA">
        <w:rPr>
          <w:rFonts w:ascii="Arial" w:hAnsi="Arial" w:cs="Arial"/>
          <w:b/>
          <w:lang w:val="en-GB"/>
        </w:rPr>
        <w:t>90-100 mmHg</w:t>
      </w:r>
      <w:r w:rsidRPr="00C47DEA">
        <w:rPr>
          <w:rFonts w:ascii="Arial" w:hAnsi="Arial" w:cs="Arial"/>
          <w:lang w:val="en-GB"/>
        </w:rPr>
        <w:t>). Once haemostasis has been achieved, patients should be resuscitated to normal haemodynamic values. Hypotensive resuscitation is not appropriate for patients with an associated head injury; such patients should have a mean arterial pressure of at least 70mmHg.</w:t>
      </w:r>
    </w:p>
    <w:p w:rsidR="0085716E" w:rsidRPr="00C47DEA" w:rsidRDefault="0085716E" w:rsidP="0042631B">
      <w:pPr>
        <w:numPr>
          <w:ilvl w:val="0"/>
          <w:numId w:val="14"/>
        </w:numPr>
        <w:rPr>
          <w:rFonts w:cs="Arial"/>
        </w:rPr>
      </w:pPr>
      <w:r w:rsidRPr="00C47DEA">
        <w:rPr>
          <w:rFonts w:cs="Arial"/>
        </w:rPr>
        <w:t>Normothermia,  normocalcaemia, and a pH&gt;7.2 must be maintained</w:t>
      </w:r>
      <w:r>
        <w:rPr>
          <w:rFonts w:cs="Arial"/>
          <w:vertAlign w:val="superscript"/>
        </w:rPr>
        <w:t>5</w:t>
      </w:r>
      <w:r w:rsidRPr="00C47DEA">
        <w:rPr>
          <w:rFonts w:cs="Arial"/>
        </w:rPr>
        <w:t>. All intravenous fluids should be warmed using equipment designed for that purpose. Use a warm air blanket.</w:t>
      </w:r>
    </w:p>
    <w:p w:rsidR="0085716E" w:rsidRPr="00C47DEA" w:rsidRDefault="0085716E" w:rsidP="00B01DAD">
      <w:pPr>
        <w:rPr>
          <w:rFonts w:cs="Arial"/>
        </w:rPr>
      </w:pPr>
    </w:p>
    <w:p w:rsidR="0085716E" w:rsidRPr="00B36DDD" w:rsidRDefault="0085716E" w:rsidP="00B01DAD">
      <w:pPr>
        <w:rPr>
          <w:rFonts w:cs="Arial"/>
          <w:b/>
        </w:rPr>
      </w:pPr>
      <w:r>
        <w:rPr>
          <w:rFonts w:cs="Arial"/>
          <w:b/>
        </w:rPr>
        <w:t>2.3 T</w:t>
      </w:r>
      <w:r w:rsidRPr="00B36DDD">
        <w:rPr>
          <w:rFonts w:cs="Arial"/>
          <w:b/>
        </w:rPr>
        <w:t>ransfusion Goals</w:t>
      </w:r>
      <w:r>
        <w:rPr>
          <w:rFonts w:cs="Arial"/>
          <w:b/>
        </w:rPr>
        <w:t xml:space="preserve"> in patients actively bleeding</w:t>
      </w:r>
    </w:p>
    <w:p w:rsidR="0085716E" w:rsidRDefault="0085716E" w:rsidP="00726CEE">
      <w:pPr>
        <w:numPr>
          <w:ilvl w:val="0"/>
          <w:numId w:val="15"/>
        </w:numPr>
      </w:pPr>
      <w:r w:rsidRPr="00303DD3">
        <w:t>Hb</w:t>
      </w:r>
      <w:r>
        <w:t xml:space="preserve"> 80-</w:t>
      </w:r>
      <w:r w:rsidRPr="00303DD3">
        <w:t>10</w:t>
      </w:r>
      <w:r>
        <w:t>0</w:t>
      </w:r>
      <w:r w:rsidRPr="00303DD3">
        <w:t xml:space="preserve">g/L </w:t>
      </w:r>
      <w:r>
        <w:t xml:space="preserve"> (&gt;100g/L if actively bleeding)</w:t>
      </w:r>
    </w:p>
    <w:p w:rsidR="0085716E" w:rsidRPr="00C47DEA" w:rsidRDefault="0085716E" w:rsidP="0042631B">
      <w:pPr>
        <w:numPr>
          <w:ilvl w:val="0"/>
          <w:numId w:val="15"/>
        </w:numPr>
        <w:rPr>
          <w:rFonts w:cs="Arial"/>
        </w:rPr>
      </w:pPr>
      <w:r w:rsidRPr="00C47DEA">
        <w:rPr>
          <w:rFonts w:cs="Arial"/>
        </w:rPr>
        <w:t>Fibrinogen &gt;1.</w:t>
      </w:r>
      <w:r>
        <w:rPr>
          <w:rFonts w:cs="Arial"/>
        </w:rPr>
        <w:t>5</w:t>
      </w:r>
      <w:r w:rsidRPr="00C47DEA">
        <w:rPr>
          <w:rFonts w:cs="Arial"/>
        </w:rPr>
        <w:t xml:space="preserve">g/L. </w:t>
      </w:r>
    </w:p>
    <w:p w:rsidR="0085716E" w:rsidRPr="00C47DEA" w:rsidRDefault="0085716E" w:rsidP="0042631B">
      <w:pPr>
        <w:numPr>
          <w:ilvl w:val="0"/>
          <w:numId w:val="15"/>
        </w:numPr>
        <w:rPr>
          <w:rFonts w:cs="Arial"/>
        </w:rPr>
      </w:pPr>
      <w:r w:rsidRPr="00C47DEA">
        <w:rPr>
          <w:rFonts w:cs="Arial"/>
        </w:rPr>
        <w:t>Platelets &gt;</w:t>
      </w:r>
      <w:r>
        <w:rPr>
          <w:rFonts w:cs="Arial"/>
        </w:rPr>
        <w:t xml:space="preserve">75 </w:t>
      </w:r>
      <w:r w:rsidRPr="00C47DEA">
        <w:rPr>
          <w:rFonts w:cs="Arial"/>
        </w:rPr>
        <w:t>x10</w:t>
      </w:r>
      <w:r w:rsidRPr="00C47DEA">
        <w:rPr>
          <w:rFonts w:cs="Arial"/>
          <w:vertAlign w:val="superscript"/>
        </w:rPr>
        <w:t>9</w:t>
      </w:r>
      <w:r w:rsidRPr="00C47DEA">
        <w:rPr>
          <w:rFonts w:cs="Arial"/>
        </w:rPr>
        <w:t>/L.</w:t>
      </w:r>
    </w:p>
    <w:p w:rsidR="0085716E" w:rsidRPr="00C47DEA" w:rsidRDefault="0085716E" w:rsidP="0042631B">
      <w:pPr>
        <w:numPr>
          <w:ilvl w:val="0"/>
          <w:numId w:val="15"/>
        </w:numPr>
        <w:rPr>
          <w:rFonts w:cs="Arial"/>
        </w:rPr>
      </w:pPr>
      <w:r w:rsidRPr="00C47DEA">
        <w:rPr>
          <w:rFonts w:cs="Arial"/>
        </w:rPr>
        <w:t xml:space="preserve">PT &amp; APTT ratio &lt;1.5 </w:t>
      </w:r>
    </w:p>
    <w:p w:rsidR="0085716E" w:rsidRDefault="0085716E" w:rsidP="00B01DAD">
      <w:pPr>
        <w:outlineLvl w:val="0"/>
        <w:rPr>
          <w:b/>
        </w:rPr>
      </w:pPr>
    </w:p>
    <w:p w:rsidR="0085716E" w:rsidRDefault="0085716E" w:rsidP="00B01DAD">
      <w:pPr>
        <w:outlineLvl w:val="0"/>
        <w:rPr>
          <w:b/>
        </w:rPr>
      </w:pPr>
      <w:r>
        <w:rPr>
          <w:b/>
        </w:rPr>
        <w:t xml:space="preserve">Dosage information for tranexamic acid </w:t>
      </w:r>
    </w:p>
    <w:p w:rsidR="0085716E" w:rsidRPr="00303DD3" w:rsidRDefault="0085716E" w:rsidP="00B01DAD">
      <w:r>
        <w:t xml:space="preserve">Tranexamic acid: As per CRASH-2 study </w:t>
      </w:r>
      <w:r>
        <w:rPr>
          <w:vertAlign w:val="superscript"/>
        </w:rPr>
        <w:t>4</w:t>
      </w:r>
      <w:r>
        <w:t xml:space="preserve"> 1g over 10 mins, then 1g in infusion over 8 hours</w:t>
      </w:r>
    </w:p>
    <w:p w:rsidR="0085716E" w:rsidRDefault="0085716E" w:rsidP="00B01DAD">
      <w:pPr>
        <w:rPr>
          <w:b/>
        </w:rPr>
      </w:pPr>
    </w:p>
    <w:p w:rsidR="0085716E" w:rsidRPr="00771CDF" w:rsidRDefault="0085716E" w:rsidP="00771CDF">
      <w:pPr>
        <w:numPr>
          <w:ilvl w:val="0"/>
          <w:numId w:val="24"/>
        </w:numPr>
        <w:rPr>
          <w:b/>
          <w:sz w:val="28"/>
          <w:szCs w:val="28"/>
        </w:rPr>
      </w:pPr>
      <w:r w:rsidRPr="006B321A">
        <w:rPr>
          <w:b/>
        </w:rPr>
        <w:t>Obstetrics</w:t>
      </w:r>
    </w:p>
    <w:p w:rsidR="0085716E" w:rsidRDefault="0085716E" w:rsidP="00B01DAD"/>
    <w:p w:rsidR="0085716E" w:rsidRPr="006B3458" w:rsidRDefault="0085716E" w:rsidP="00B01DAD">
      <w:pPr>
        <w:rPr>
          <w:rFonts w:cs="Arial"/>
          <w:b/>
        </w:rPr>
      </w:pPr>
      <w:r>
        <w:rPr>
          <w:rFonts w:cs="Arial"/>
          <w:b/>
        </w:rPr>
        <w:t xml:space="preserve">3.1 </w:t>
      </w:r>
      <w:r w:rsidRPr="006B3458">
        <w:rPr>
          <w:rFonts w:cs="Arial"/>
          <w:b/>
        </w:rPr>
        <w:t>Who should be included i</w:t>
      </w:r>
      <w:r>
        <w:rPr>
          <w:rFonts w:cs="Arial"/>
          <w:b/>
        </w:rPr>
        <w:t>n the team?</w:t>
      </w:r>
    </w:p>
    <w:p w:rsidR="0085716E" w:rsidRDefault="0085716E" w:rsidP="00B01DAD">
      <w:pPr>
        <w:rPr>
          <w:rFonts w:cs="Arial"/>
        </w:rPr>
      </w:pPr>
      <w:r w:rsidRPr="006B3458">
        <w:rPr>
          <w:rFonts w:cs="Arial"/>
        </w:rPr>
        <w:t>It may be a midwife or a junior doctor in obstetrics who alerts the ‘team’ which should include middle grade trainees from obstetrics and anaesthetics and senior midwife plus midwife in charge but should rapidly involve consultant obstetrician and consultant anaesthetist, ODA, theatre team, one member of the team (the scribe) to keep records, HCA/porter and the lab staff and consultant haematologist for advice and support.</w:t>
      </w:r>
    </w:p>
    <w:p w:rsidR="0085716E" w:rsidRPr="006B3458" w:rsidRDefault="0085716E" w:rsidP="00B01DAD">
      <w:pPr>
        <w:rPr>
          <w:rFonts w:cs="Arial"/>
        </w:rPr>
      </w:pPr>
    </w:p>
    <w:p w:rsidR="0085716E" w:rsidRPr="006B3458" w:rsidRDefault="0085716E" w:rsidP="00B01DAD">
      <w:pPr>
        <w:rPr>
          <w:rFonts w:cs="Arial"/>
          <w:b/>
        </w:rPr>
      </w:pPr>
      <w:r>
        <w:rPr>
          <w:rFonts w:cs="Arial"/>
          <w:b/>
        </w:rPr>
        <w:t>3.2 Additional management aspects</w:t>
      </w:r>
    </w:p>
    <w:p w:rsidR="0085716E" w:rsidRDefault="0085716E" w:rsidP="006B321A">
      <w:r w:rsidRPr="006B321A">
        <w:t>Follow the ABCD approach –</w:t>
      </w:r>
    </w:p>
    <w:p w:rsidR="0085716E" w:rsidRPr="006B321A" w:rsidRDefault="0085716E" w:rsidP="006B321A"/>
    <w:p w:rsidR="0085716E" w:rsidRPr="00946698" w:rsidRDefault="0085716E" w:rsidP="006B321A">
      <w:pPr>
        <w:rPr>
          <w:b/>
        </w:rPr>
      </w:pPr>
      <w:r>
        <w:rPr>
          <w:b/>
        </w:rPr>
        <w:t xml:space="preserve">3.2.1 </w:t>
      </w:r>
      <w:r w:rsidRPr="00946698">
        <w:rPr>
          <w:b/>
        </w:rPr>
        <w:t>A, B (Airway</w:t>
      </w:r>
      <w:r>
        <w:rPr>
          <w:b/>
        </w:rPr>
        <w:t xml:space="preserve"> and Breathing)</w:t>
      </w:r>
    </w:p>
    <w:p w:rsidR="0085716E" w:rsidRPr="006B321A" w:rsidRDefault="0085716E" w:rsidP="006B321A">
      <w:r w:rsidRPr="006B321A">
        <w:t>Ensure the patient has a patent airway and is breathing adequately, ensure adequate oxygenation and monitor SpO</w:t>
      </w:r>
      <w:r w:rsidRPr="0085143B">
        <w:rPr>
          <w:vertAlign w:val="subscript"/>
        </w:rPr>
        <w:t>2</w:t>
      </w:r>
      <w:r w:rsidRPr="006B321A">
        <w:t>.</w:t>
      </w:r>
    </w:p>
    <w:p w:rsidR="0085716E" w:rsidRDefault="0085716E" w:rsidP="006B321A">
      <w:r w:rsidRPr="006B321A">
        <w:t>Give High flow Oxygen (Mask with reservoir, 15L/min) if not intubated and ventilated.</w:t>
      </w:r>
    </w:p>
    <w:p w:rsidR="0085716E" w:rsidRPr="006B321A" w:rsidRDefault="0085716E" w:rsidP="006B321A"/>
    <w:p w:rsidR="0085716E" w:rsidRPr="00946698" w:rsidRDefault="0085716E" w:rsidP="00946698">
      <w:pPr>
        <w:rPr>
          <w:b/>
        </w:rPr>
      </w:pPr>
      <w:r>
        <w:rPr>
          <w:b/>
        </w:rPr>
        <w:t xml:space="preserve">3.2.2 </w:t>
      </w:r>
      <w:r w:rsidRPr="00946698">
        <w:rPr>
          <w:b/>
        </w:rPr>
        <w:t>C (Circulation):</w:t>
      </w:r>
    </w:p>
    <w:p w:rsidR="0085716E" w:rsidRPr="006B3458" w:rsidRDefault="0085716E" w:rsidP="00CB099B">
      <w:pPr>
        <w:pStyle w:val="ListParagraph"/>
        <w:numPr>
          <w:ilvl w:val="0"/>
          <w:numId w:val="16"/>
        </w:numPr>
        <w:spacing w:after="200" w:line="276" w:lineRule="auto"/>
        <w:rPr>
          <w:rStyle w:val="list0020paragraphchar"/>
          <w:rFonts w:ascii="Arial" w:hAnsi="Arial" w:cs="Arial"/>
        </w:rPr>
      </w:pPr>
      <w:r w:rsidRPr="006B3458">
        <w:rPr>
          <w:rStyle w:val="list0020paragraphchar"/>
          <w:rFonts w:ascii="Arial" w:hAnsi="Arial" w:cs="Arial"/>
        </w:rPr>
        <w:t>Insert wide bore peripheral cannulae x 2</w:t>
      </w:r>
    </w:p>
    <w:p w:rsidR="0085716E" w:rsidRPr="006B3458" w:rsidRDefault="0085716E" w:rsidP="00CB099B">
      <w:pPr>
        <w:pStyle w:val="ListParagraph"/>
        <w:numPr>
          <w:ilvl w:val="0"/>
          <w:numId w:val="16"/>
        </w:numPr>
        <w:spacing w:after="200" w:line="276" w:lineRule="auto"/>
        <w:rPr>
          <w:rStyle w:val="list0020paragraphchar"/>
          <w:rFonts w:ascii="Arial" w:hAnsi="Arial" w:cs="Arial"/>
        </w:rPr>
      </w:pPr>
      <w:r w:rsidRPr="006B3458">
        <w:rPr>
          <w:rStyle w:val="list0020paragraphchar"/>
          <w:rFonts w:ascii="Arial" w:hAnsi="Arial" w:cs="Arial"/>
        </w:rPr>
        <w:t>Institute basic monitoring – ECG, pulse oximetry, NIBP</w:t>
      </w:r>
    </w:p>
    <w:p w:rsidR="0085716E" w:rsidRPr="006B3458" w:rsidRDefault="0085716E" w:rsidP="00CB099B">
      <w:pPr>
        <w:pStyle w:val="ListParagraph"/>
        <w:numPr>
          <w:ilvl w:val="0"/>
          <w:numId w:val="16"/>
        </w:numPr>
        <w:spacing w:after="200" w:line="276" w:lineRule="auto"/>
        <w:rPr>
          <w:rStyle w:val="list0020paragraphchar"/>
          <w:rFonts w:ascii="Arial" w:hAnsi="Arial" w:cs="Arial"/>
        </w:rPr>
      </w:pPr>
      <w:r w:rsidRPr="006B3458">
        <w:rPr>
          <w:rStyle w:val="list0020paragraphchar"/>
          <w:rFonts w:ascii="Arial" w:hAnsi="Arial" w:cs="Arial"/>
        </w:rPr>
        <w:t>Infuse crystalloid/colloid until blood is available – O Neg to be used if necessary and resort to MHP1 as soon as available – fibrinogen levels fall early in obstetric haemorrhage</w:t>
      </w:r>
    </w:p>
    <w:p w:rsidR="0085716E" w:rsidRPr="006B3458" w:rsidRDefault="0085716E" w:rsidP="00CB099B">
      <w:pPr>
        <w:pStyle w:val="ListParagraph"/>
        <w:numPr>
          <w:ilvl w:val="0"/>
          <w:numId w:val="16"/>
        </w:numPr>
        <w:spacing w:after="200" w:line="276" w:lineRule="auto"/>
        <w:rPr>
          <w:rStyle w:val="list0020paragraphchar"/>
          <w:rFonts w:ascii="Arial" w:hAnsi="Arial" w:cs="Arial"/>
        </w:rPr>
      </w:pPr>
      <w:r w:rsidRPr="006B3458">
        <w:rPr>
          <w:rStyle w:val="list0020paragraphchar"/>
          <w:rFonts w:ascii="Arial" w:hAnsi="Arial" w:cs="Arial"/>
        </w:rPr>
        <w:t xml:space="preserve">Check uterine tone – uterotonics like syntocinon 5 units iv slowly or ergometrine 0.5mg by slow iv or im injection, syntocinon infusion at 10 units per hour, carboprost </w:t>
      </w:r>
      <w:r>
        <w:rPr>
          <w:rStyle w:val="list0020paragraphchar"/>
          <w:rFonts w:ascii="Arial" w:hAnsi="Arial" w:cs="Arial"/>
        </w:rPr>
        <w:t>0.25mg im repeated at 15 min in</w:t>
      </w:r>
      <w:r w:rsidRPr="006B3458">
        <w:rPr>
          <w:rStyle w:val="list0020paragraphchar"/>
          <w:rFonts w:ascii="Arial" w:hAnsi="Arial" w:cs="Arial"/>
        </w:rPr>
        <w:t>tervals if required, (max 8 doses) or misoprostol 1000 mcgs pr and bimanual compression</w:t>
      </w:r>
    </w:p>
    <w:p w:rsidR="0085716E" w:rsidRPr="00CB099B" w:rsidRDefault="0085716E" w:rsidP="00CB099B">
      <w:pPr>
        <w:pStyle w:val="ListParagraph"/>
        <w:numPr>
          <w:ilvl w:val="0"/>
          <w:numId w:val="16"/>
        </w:numPr>
        <w:spacing w:after="200" w:line="276" w:lineRule="auto"/>
        <w:rPr>
          <w:rStyle w:val="list0020paragraphchar"/>
          <w:rFonts w:ascii="Arial" w:hAnsi="Arial" w:cs="Arial"/>
        </w:rPr>
      </w:pPr>
      <w:r w:rsidRPr="00CB099B">
        <w:rPr>
          <w:rStyle w:val="list0020paragraphchar"/>
          <w:rFonts w:ascii="Arial" w:hAnsi="Arial" w:cs="Arial"/>
        </w:rPr>
        <w:t>If these fail, surgical measures may be required – EUA in theatres</w:t>
      </w:r>
    </w:p>
    <w:p w:rsidR="0085716E" w:rsidRDefault="0085716E" w:rsidP="00CB099B">
      <w:pPr>
        <w:pStyle w:val="ListParagraph"/>
        <w:numPr>
          <w:ilvl w:val="0"/>
          <w:numId w:val="16"/>
        </w:numPr>
        <w:spacing w:after="200" w:line="276" w:lineRule="auto"/>
        <w:rPr>
          <w:rStyle w:val="list0020paragraphchar"/>
          <w:rFonts w:ascii="Arial" w:hAnsi="Arial" w:cs="Arial"/>
        </w:rPr>
      </w:pPr>
      <w:r w:rsidRPr="00CB099B">
        <w:rPr>
          <w:rStyle w:val="list0020paragraphchar"/>
          <w:rFonts w:ascii="Arial" w:hAnsi="Arial" w:cs="Arial"/>
        </w:rPr>
        <w:t>Surgical interventions in ascending order of complexity – balloon tamponade, brace sutures, ligation of uterine or internal iliac arteries and ultimately hysterectomy</w:t>
      </w:r>
      <w:r>
        <w:rPr>
          <w:rStyle w:val="list0020paragraphchar"/>
          <w:rFonts w:ascii="Arial" w:hAnsi="Arial" w:cs="Arial"/>
        </w:rPr>
        <w:t xml:space="preserve"> (see next point re interventional radiology)</w:t>
      </w:r>
    </w:p>
    <w:p w:rsidR="0085716E" w:rsidRPr="00CB099B" w:rsidRDefault="0085716E" w:rsidP="002D4A2A">
      <w:pPr>
        <w:pStyle w:val="ListParagraph"/>
        <w:numPr>
          <w:ilvl w:val="0"/>
          <w:numId w:val="16"/>
        </w:numPr>
        <w:spacing w:after="200" w:line="276" w:lineRule="auto"/>
        <w:rPr>
          <w:rStyle w:val="list0020paragraphchar"/>
          <w:rFonts w:ascii="Arial" w:hAnsi="Arial" w:cs="Arial"/>
        </w:rPr>
      </w:pPr>
      <w:r w:rsidRPr="006B3458">
        <w:rPr>
          <w:rStyle w:val="list0020paragraphchar"/>
          <w:rFonts w:ascii="Arial" w:hAnsi="Arial" w:cs="Arial"/>
        </w:rPr>
        <w:t>Interventional radiology - embolisation if a</w:t>
      </w:r>
      <w:r>
        <w:rPr>
          <w:rStyle w:val="list0020paragraphchar"/>
          <w:rFonts w:ascii="Arial" w:hAnsi="Arial" w:cs="Arial"/>
        </w:rPr>
        <w:t>vailable needs to be considered</w:t>
      </w:r>
    </w:p>
    <w:p w:rsidR="0085716E" w:rsidRPr="006B3458" w:rsidRDefault="0085716E" w:rsidP="00CB099B">
      <w:pPr>
        <w:pStyle w:val="ListParagraph"/>
        <w:numPr>
          <w:ilvl w:val="0"/>
          <w:numId w:val="16"/>
        </w:numPr>
        <w:spacing w:after="200" w:line="276" w:lineRule="auto"/>
        <w:rPr>
          <w:rStyle w:val="list0020paragraphchar"/>
          <w:rFonts w:ascii="Arial" w:hAnsi="Arial" w:cs="Arial"/>
        </w:rPr>
      </w:pPr>
      <w:r w:rsidRPr="006B3458">
        <w:rPr>
          <w:rStyle w:val="list0020paragraphchar"/>
          <w:rFonts w:ascii="Arial" w:hAnsi="Arial" w:cs="Arial"/>
        </w:rPr>
        <w:t>Invasive BP monitoring, CVP monitoring, level 1 infusors, fluid warmers, forced air warmers and cell salvage may be required.</w:t>
      </w:r>
    </w:p>
    <w:p w:rsidR="0085716E" w:rsidRDefault="0085716E" w:rsidP="00CB099B">
      <w:pPr>
        <w:pStyle w:val="ListParagraph"/>
        <w:numPr>
          <w:ilvl w:val="0"/>
          <w:numId w:val="16"/>
        </w:numPr>
        <w:spacing w:line="276" w:lineRule="auto"/>
        <w:rPr>
          <w:rFonts w:ascii="Arial" w:hAnsi="Arial" w:cs="Arial"/>
        </w:rPr>
      </w:pPr>
      <w:r w:rsidRPr="006B3458">
        <w:rPr>
          <w:rFonts w:ascii="Arial" w:hAnsi="Arial" w:cs="Arial"/>
        </w:rPr>
        <w:t>Normothermia,  normocalcaemia, and a pH&gt;7.2 must be maintained. All intravenous fluids should be warmed using equipment designed for that purpose. Use a warm air blanket.</w:t>
      </w:r>
    </w:p>
    <w:p w:rsidR="0085716E" w:rsidRPr="006B3458" w:rsidRDefault="0085716E" w:rsidP="00B01DAD">
      <w:pPr>
        <w:pStyle w:val="ListParagraph"/>
        <w:spacing w:line="276" w:lineRule="auto"/>
        <w:ind w:left="0"/>
        <w:rPr>
          <w:rFonts w:ascii="Arial" w:hAnsi="Arial" w:cs="Arial"/>
        </w:rPr>
      </w:pPr>
    </w:p>
    <w:p w:rsidR="0085716E" w:rsidRPr="006B3458" w:rsidRDefault="0085716E" w:rsidP="00B01DAD">
      <w:pPr>
        <w:pStyle w:val="normal0"/>
        <w:spacing w:before="0" w:beforeAutospacing="0" w:after="0" w:afterAutospacing="0"/>
        <w:rPr>
          <w:rFonts w:ascii="Arial" w:hAnsi="Arial" w:cs="Arial"/>
          <w:b/>
        </w:rPr>
      </w:pPr>
      <w:r>
        <w:rPr>
          <w:rStyle w:val="normalchar"/>
          <w:rFonts w:ascii="Arial" w:hAnsi="Arial" w:cs="Arial"/>
          <w:b/>
          <w:bCs/>
        </w:rPr>
        <w:t xml:space="preserve">3.3 </w:t>
      </w:r>
      <w:r w:rsidRPr="006B3458">
        <w:rPr>
          <w:rStyle w:val="normalchar"/>
          <w:rFonts w:ascii="Arial" w:hAnsi="Arial" w:cs="Arial"/>
          <w:b/>
          <w:bCs/>
        </w:rPr>
        <w:t>Transfusion Goals in patients actively bleeding</w:t>
      </w:r>
    </w:p>
    <w:p w:rsidR="0085716E" w:rsidRDefault="0085716E" w:rsidP="00726CEE">
      <w:pPr>
        <w:numPr>
          <w:ilvl w:val="0"/>
          <w:numId w:val="17"/>
        </w:numPr>
      </w:pPr>
      <w:r w:rsidRPr="00303DD3">
        <w:t>Hb</w:t>
      </w:r>
      <w:r>
        <w:t xml:space="preserve"> 80-</w:t>
      </w:r>
      <w:r w:rsidRPr="00303DD3">
        <w:t>10</w:t>
      </w:r>
      <w:r>
        <w:t>0</w:t>
      </w:r>
      <w:r w:rsidRPr="00303DD3">
        <w:t xml:space="preserve">g/L </w:t>
      </w:r>
      <w:r>
        <w:t xml:space="preserve"> (&gt;100g/L if actively bleeding)</w:t>
      </w:r>
    </w:p>
    <w:p w:rsidR="0085716E" w:rsidRDefault="0085716E" w:rsidP="0085143B">
      <w:pPr>
        <w:pStyle w:val="normal0"/>
        <w:numPr>
          <w:ilvl w:val="2"/>
          <w:numId w:val="17"/>
        </w:numPr>
        <w:spacing w:before="0" w:beforeAutospacing="0" w:after="0" w:afterAutospacing="0"/>
        <w:ind w:left="709" w:hanging="283"/>
        <w:rPr>
          <w:rFonts w:ascii="Arial" w:hAnsi="Arial" w:cs="Arial"/>
          <w:lang w:val="de-DE"/>
        </w:rPr>
      </w:pPr>
      <w:r w:rsidRPr="00F13A9D">
        <w:rPr>
          <w:rFonts w:ascii="Arial" w:hAnsi="Arial" w:cs="Arial"/>
          <w:lang w:val="de-DE"/>
        </w:rPr>
        <w:t xml:space="preserve">Fibrinogen &gt;2.0g/L. </w:t>
      </w:r>
    </w:p>
    <w:p w:rsidR="0085716E" w:rsidRDefault="0085716E" w:rsidP="0085143B">
      <w:pPr>
        <w:pStyle w:val="normal0"/>
        <w:numPr>
          <w:ilvl w:val="2"/>
          <w:numId w:val="17"/>
        </w:numPr>
        <w:spacing w:before="0" w:beforeAutospacing="0" w:after="0" w:afterAutospacing="0"/>
        <w:ind w:left="709" w:hanging="283"/>
        <w:rPr>
          <w:rFonts w:ascii="Arial" w:hAnsi="Arial" w:cs="Arial"/>
          <w:lang w:val="de-DE"/>
        </w:rPr>
      </w:pPr>
      <w:r>
        <w:rPr>
          <w:rFonts w:ascii="Arial" w:hAnsi="Arial" w:cs="Arial"/>
          <w:lang w:val="de-DE"/>
        </w:rPr>
        <w:t xml:space="preserve">Platelets &gt;75 </w:t>
      </w:r>
      <w:r w:rsidRPr="00F13A9D">
        <w:rPr>
          <w:rFonts w:ascii="Arial" w:hAnsi="Arial" w:cs="Arial"/>
          <w:lang w:val="de-DE"/>
        </w:rPr>
        <w:t>x</w:t>
      </w:r>
      <w:r>
        <w:rPr>
          <w:rFonts w:ascii="Arial" w:hAnsi="Arial" w:cs="Arial"/>
          <w:lang w:val="de-DE"/>
        </w:rPr>
        <w:t xml:space="preserve"> </w:t>
      </w:r>
      <w:r w:rsidRPr="00F13A9D">
        <w:rPr>
          <w:rFonts w:ascii="Arial" w:hAnsi="Arial" w:cs="Arial"/>
          <w:lang w:val="de-DE"/>
        </w:rPr>
        <w:t>10</w:t>
      </w:r>
      <w:r w:rsidRPr="00F13A9D">
        <w:rPr>
          <w:rFonts w:ascii="Arial" w:hAnsi="Arial" w:cs="Arial"/>
          <w:vertAlign w:val="superscript"/>
          <w:lang w:val="de-DE"/>
        </w:rPr>
        <w:t>9</w:t>
      </w:r>
      <w:r w:rsidRPr="00F13A9D">
        <w:rPr>
          <w:rFonts w:ascii="Arial" w:hAnsi="Arial" w:cs="Arial"/>
          <w:lang w:val="de-DE"/>
        </w:rPr>
        <w:t>/L.</w:t>
      </w:r>
    </w:p>
    <w:p w:rsidR="0085716E" w:rsidRDefault="0085716E" w:rsidP="0085143B">
      <w:pPr>
        <w:pStyle w:val="normal0"/>
        <w:numPr>
          <w:ilvl w:val="2"/>
          <w:numId w:val="17"/>
        </w:numPr>
        <w:spacing w:before="0" w:beforeAutospacing="0" w:after="0" w:afterAutospacing="0"/>
        <w:ind w:left="709" w:hanging="283"/>
        <w:rPr>
          <w:rFonts w:ascii="Arial" w:hAnsi="Arial" w:cs="Arial"/>
        </w:rPr>
      </w:pPr>
      <w:r w:rsidRPr="006B3458">
        <w:rPr>
          <w:rFonts w:ascii="Arial" w:hAnsi="Arial" w:cs="Arial"/>
        </w:rPr>
        <w:t xml:space="preserve">PT &amp; APTT ratio &lt;1.5 </w:t>
      </w:r>
    </w:p>
    <w:p w:rsidR="0085716E" w:rsidRDefault="0085716E" w:rsidP="00B01DAD">
      <w:pPr>
        <w:pStyle w:val="normal0"/>
        <w:spacing w:before="0" w:beforeAutospacing="0" w:after="0" w:afterAutospacing="0"/>
        <w:rPr>
          <w:rFonts w:ascii="Arial" w:hAnsi="Arial" w:cs="Arial"/>
        </w:rPr>
      </w:pPr>
      <w:r w:rsidRPr="006B3458">
        <w:rPr>
          <w:rFonts w:ascii="Arial" w:hAnsi="Arial" w:cs="Arial"/>
        </w:rPr>
        <w:t>Other agents</w:t>
      </w:r>
      <w:r>
        <w:rPr>
          <w:rFonts w:ascii="Arial" w:hAnsi="Arial" w:cs="Arial"/>
        </w:rPr>
        <w:t xml:space="preserve"> for controlling haemostasis,</w:t>
      </w:r>
      <w:r w:rsidRPr="006B3458">
        <w:rPr>
          <w:rFonts w:ascii="Arial" w:hAnsi="Arial" w:cs="Arial"/>
        </w:rPr>
        <w:t xml:space="preserve"> like rVIIa</w:t>
      </w:r>
      <w:r>
        <w:rPr>
          <w:rFonts w:ascii="Arial" w:hAnsi="Arial" w:cs="Arial"/>
        </w:rPr>
        <w:t>, may be appropriate on the advice of the Haematologist</w:t>
      </w:r>
      <w:r w:rsidRPr="006B3458">
        <w:rPr>
          <w:rFonts w:ascii="Arial" w:hAnsi="Arial" w:cs="Arial"/>
        </w:rPr>
        <w:t xml:space="preserve"> depending on clinical situation/lab results. </w:t>
      </w:r>
    </w:p>
    <w:p w:rsidR="0085716E" w:rsidRDefault="0085716E" w:rsidP="00B01DAD"/>
    <w:p w:rsidR="0085716E" w:rsidRDefault="0085716E" w:rsidP="00B01DAD"/>
    <w:p w:rsidR="0085716E" w:rsidRPr="00CE58F3" w:rsidRDefault="0085716E" w:rsidP="00CE58F3">
      <w:pPr>
        <w:jc w:val="both"/>
        <w:rPr>
          <w:rFonts w:cs="Arial"/>
          <w:b/>
        </w:rPr>
      </w:pPr>
      <w:r w:rsidRPr="00CE58F3">
        <w:rPr>
          <w:rFonts w:cs="Arial"/>
          <w:b/>
        </w:rPr>
        <w:t>4 Gastrointestinal haemorrhage</w:t>
      </w: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eastAsia="en-US"/>
        </w:rPr>
      </w:pP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rPr>
      </w:pPr>
      <w:r w:rsidRPr="00CE58F3">
        <w:rPr>
          <w:rFonts w:cs="Arial"/>
          <w:b/>
        </w:rPr>
        <w:t>4.1 Who should be included in the team?</w:t>
      </w: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cs="Arial"/>
          <w:b/>
        </w:rPr>
      </w:pPr>
    </w:p>
    <w:p w:rsidR="0085716E" w:rsidRPr="00C36EA5" w:rsidRDefault="0085716E" w:rsidP="00C36EA5">
      <w:pPr>
        <w:pStyle w:val="CommentText"/>
        <w:rPr>
          <w:sz w:val="24"/>
          <w:szCs w:val="24"/>
        </w:rPr>
      </w:pPr>
      <w:r w:rsidRPr="00C36EA5">
        <w:rPr>
          <w:sz w:val="24"/>
          <w:szCs w:val="24"/>
        </w:rPr>
        <w:t xml:space="preserve">Initial assessment to establish the severity of the bleed by calculating Glasgow-Blatchford score, (and Rockall score used post-endoscopy).  </w:t>
      </w:r>
    </w:p>
    <w:p w:rsidR="0085716E" w:rsidRPr="00C36EA5" w:rsidRDefault="0085716E" w:rsidP="00C36EA5">
      <w:pPr>
        <w:pStyle w:val="CommentText"/>
        <w:rPr>
          <w:sz w:val="24"/>
          <w:szCs w:val="24"/>
        </w:rPr>
      </w:pPr>
      <w:r w:rsidRPr="00C36EA5">
        <w:rPr>
          <w:sz w:val="24"/>
          <w:szCs w:val="24"/>
        </w:rPr>
        <w:t>Medical history will alert to the risk of liver disease and possible variceal haemorrhage. Involve Medical SpR, +/- Gastro SpR (where rota exists)</w:t>
      </w:r>
    </w:p>
    <w:p w:rsidR="0085716E" w:rsidRPr="00C36EA5" w:rsidRDefault="0085716E" w:rsidP="00C36EA5">
      <w:pPr>
        <w:pStyle w:val="CommentText"/>
        <w:rPr>
          <w:sz w:val="24"/>
          <w:szCs w:val="24"/>
        </w:rPr>
      </w:pPr>
      <w:r w:rsidRPr="00C36EA5">
        <w:rPr>
          <w:sz w:val="24"/>
          <w:szCs w:val="24"/>
        </w:rPr>
        <w:t>Alert the locally available endoscopy service, as the key to successful management is resuscitation and early haemostasis, where treatment will require interhospital transfer it is recommended the senior clinician and anaesthetic team on call is involved.</w:t>
      </w:r>
    </w:p>
    <w:p w:rsidR="0085716E" w:rsidRPr="00C36EA5" w:rsidRDefault="0085716E" w:rsidP="00CE58F3">
      <w:pPr>
        <w:jc w:val="both"/>
      </w:pPr>
      <w:r w:rsidRPr="00C36EA5">
        <w:t xml:space="preserve">Emergency endoscopy will need to be arranged, for unstable patients anaesthetic support for airway protection and resuscitation is recommended. </w:t>
      </w:r>
    </w:p>
    <w:p w:rsidR="0085716E" w:rsidRPr="00CE58F3" w:rsidRDefault="0085716E" w:rsidP="00CE58F3">
      <w:pPr>
        <w:jc w:val="both"/>
        <w:rPr>
          <w:rFonts w:cs="Arial"/>
          <w:color w:val="000000"/>
        </w:rPr>
      </w:pPr>
    </w:p>
    <w:p w:rsidR="0085716E" w:rsidRPr="00CE58F3" w:rsidRDefault="0085716E" w:rsidP="00CE58F3">
      <w:pPr>
        <w:jc w:val="both"/>
        <w:rPr>
          <w:rFonts w:cs="Arial"/>
          <w:b/>
        </w:rPr>
      </w:pPr>
      <w:r w:rsidRPr="00CE58F3">
        <w:rPr>
          <w:rFonts w:cs="Arial"/>
          <w:b/>
        </w:rPr>
        <w:t>4.2 S</w:t>
      </w:r>
      <w:r w:rsidRPr="00CE58F3">
        <w:rPr>
          <w:rFonts w:cs="Arial"/>
          <w:b/>
          <w:color w:val="000000"/>
          <w:lang w:val="en-US" w:eastAsia="en-US"/>
        </w:rPr>
        <w:t xml:space="preserve">pecific </w:t>
      </w:r>
      <w:r w:rsidRPr="00CE58F3">
        <w:rPr>
          <w:rFonts w:cs="Arial"/>
          <w:b/>
        </w:rPr>
        <w:t>management aspects</w:t>
      </w:r>
      <w:r w:rsidRPr="00CE58F3">
        <w:rPr>
          <w:rFonts w:cs="Arial"/>
          <w:b/>
          <w:color w:val="000000"/>
          <w:lang w:val="en-US" w:eastAsia="en-US"/>
        </w:rPr>
        <w:t xml:space="preserve"> for major haemorrhage guidelines </w:t>
      </w:r>
      <w:r w:rsidRPr="00CE58F3">
        <w:rPr>
          <w:rFonts w:cs="Arial"/>
          <w:color w:val="000000"/>
          <w:vertAlign w:val="superscript"/>
          <w:lang w:val="en-US" w:eastAsia="en-US"/>
        </w:rPr>
        <w:t>6,7</w:t>
      </w: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90"/>
        <w:jc w:val="both"/>
        <w:rPr>
          <w:rFonts w:cs="Arial"/>
          <w:b/>
        </w:rPr>
      </w:pP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lang w:val="en-US" w:eastAsia="en-US"/>
        </w:rPr>
      </w:pPr>
      <w:r w:rsidRPr="00CE58F3">
        <w:rPr>
          <w:rFonts w:cs="Arial"/>
          <w:b/>
          <w:color w:val="000000"/>
          <w:lang w:val="en-US" w:eastAsia="en-US"/>
        </w:rPr>
        <w:t>4.2.1 Prognostic factors</w:t>
      </w:r>
    </w:p>
    <w:p w:rsidR="0085716E" w:rsidRPr="00CE58F3" w:rsidRDefault="0085716E" w:rsidP="00CE58F3">
      <w:pPr>
        <w:jc w:val="both"/>
        <w:rPr>
          <w:rFonts w:cs="Arial"/>
          <w:color w:val="000000"/>
        </w:rPr>
      </w:pPr>
    </w:p>
    <w:p w:rsidR="0085716E" w:rsidRPr="00CE58F3" w:rsidRDefault="0085716E" w:rsidP="00CE58F3">
      <w:pPr>
        <w:autoSpaceDE w:val="0"/>
        <w:autoSpaceDN w:val="0"/>
        <w:adjustRightInd w:val="0"/>
        <w:jc w:val="both"/>
        <w:rPr>
          <w:rFonts w:cs="Arial"/>
        </w:rPr>
      </w:pPr>
      <w:r w:rsidRPr="00CE58F3">
        <w:rPr>
          <w:rFonts w:cs="Arial"/>
          <w:color w:val="000000"/>
          <w:lang w:val="en-US" w:eastAsia="en-US"/>
        </w:rPr>
        <w:t xml:space="preserve">Factors associated with a poorer outcome in upper and/or lower gastrointestinal haemorrhage </w:t>
      </w:r>
      <w:r w:rsidRPr="00CE58F3">
        <w:rPr>
          <w:rFonts w:cs="Arial"/>
        </w:rPr>
        <w:t>defined in terms of severity of bleed,</w:t>
      </w:r>
      <w:r w:rsidRPr="00CE58F3">
        <w:rPr>
          <w:rFonts w:cs="Arial"/>
          <w:color w:val="000000"/>
          <w:lang w:val="en-US" w:eastAsia="en-US"/>
        </w:rPr>
        <w:t xml:space="preserve"> uncontrolled bleeding, rebleeding, need for intervention and mortality are: </w:t>
      </w:r>
      <w:r w:rsidRPr="00CE58F3">
        <w:rPr>
          <w:rFonts w:cs="Arial"/>
          <w:color w:val="000000"/>
        </w:rPr>
        <w:t xml:space="preserve"> </w:t>
      </w:r>
    </w:p>
    <w:p w:rsidR="0085716E" w:rsidRDefault="0085716E" w:rsidP="0085143B">
      <w:pPr>
        <w:numPr>
          <w:ilvl w:val="0"/>
          <w:numId w:val="25"/>
        </w:numPr>
        <w:autoSpaceDE w:val="0"/>
        <w:autoSpaceDN w:val="0"/>
        <w:adjustRightInd w:val="0"/>
        <w:ind w:left="426" w:hanging="426"/>
        <w:jc w:val="both"/>
        <w:rPr>
          <w:rFonts w:cs="Arial"/>
          <w:color w:val="000000"/>
          <w:lang w:val="en-US" w:eastAsia="en-US"/>
        </w:rPr>
      </w:pPr>
      <w:r w:rsidRPr="00CE58F3">
        <w:rPr>
          <w:rFonts w:cs="Arial"/>
          <w:color w:val="000000"/>
          <w:lang w:val="en-US" w:eastAsia="en-US"/>
        </w:rPr>
        <w:t>initial shock</w:t>
      </w:r>
    </w:p>
    <w:p w:rsidR="0085716E" w:rsidRDefault="0085716E" w:rsidP="0085143B">
      <w:pPr>
        <w:numPr>
          <w:ilvl w:val="0"/>
          <w:numId w:val="25"/>
        </w:numPr>
        <w:autoSpaceDE w:val="0"/>
        <w:autoSpaceDN w:val="0"/>
        <w:adjustRightInd w:val="0"/>
        <w:ind w:left="426" w:hanging="426"/>
        <w:jc w:val="both"/>
        <w:rPr>
          <w:rFonts w:cs="Arial"/>
          <w:color w:val="000000"/>
          <w:lang w:val="en-US" w:eastAsia="en-US"/>
        </w:rPr>
      </w:pPr>
      <w:r w:rsidRPr="00CE58F3">
        <w:rPr>
          <w:rFonts w:cs="Arial"/>
          <w:color w:val="000000"/>
          <w:lang w:val="en-US" w:eastAsia="en-US"/>
        </w:rPr>
        <w:t>advanced age</w:t>
      </w:r>
    </w:p>
    <w:p w:rsidR="0085716E" w:rsidRDefault="0085716E" w:rsidP="0085143B">
      <w:pPr>
        <w:numPr>
          <w:ilvl w:val="0"/>
          <w:numId w:val="25"/>
        </w:numPr>
        <w:autoSpaceDE w:val="0"/>
        <w:autoSpaceDN w:val="0"/>
        <w:adjustRightInd w:val="0"/>
        <w:ind w:left="426" w:hanging="426"/>
        <w:jc w:val="both"/>
        <w:rPr>
          <w:rFonts w:cs="Arial"/>
          <w:color w:val="000000"/>
          <w:lang w:val="en-US" w:eastAsia="en-US"/>
        </w:rPr>
      </w:pPr>
      <w:r w:rsidRPr="00CE58F3">
        <w:rPr>
          <w:rFonts w:cs="Arial"/>
          <w:color w:val="000000"/>
          <w:lang w:val="en-US" w:eastAsia="en-US"/>
        </w:rPr>
        <w:t>co-morbidity</w:t>
      </w:r>
    </w:p>
    <w:p w:rsidR="0085716E" w:rsidRDefault="0085716E" w:rsidP="0085143B">
      <w:pPr>
        <w:numPr>
          <w:ilvl w:val="0"/>
          <w:numId w:val="25"/>
        </w:numPr>
        <w:autoSpaceDE w:val="0"/>
        <w:autoSpaceDN w:val="0"/>
        <w:adjustRightInd w:val="0"/>
        <w:ind w:left="426" w:hanging="426"/>
        <w:jc w:val="both"/>
        <w:rPr>
          <w:rFonts w:cs="Arial"/>
          <w:color w:val="000000"/>
          <w:lang w:val="en-US" w:eastAsia="en-US"/>
        </w:rPr>
      </w:pPr>
      <w:r w:rsidRPr="00CE58F3">
        <w:rPr>
          <w:rFonts w:cs="Arial"/>
          <w:color w:val="000000"/>
          <w:lang w:val="en-US" w:eastAsia="en-US"/>
        </w:rPr>
        <w:t>liver disease</w:t>
      </w:r>
    </w:p>
    <w:p w:rsidR="0085716E" w:rsidRDefault="0085716E" w:rsidP="0085143B">
      <w:pPr>
        <w:numPr>
          <w:ilvl w:val="0"/>
          <w:numId w:val="25"/>
        </w:numPr>
        <w:autoSpaceDE w:val="0"/>
        <w:autoSpaceDN w:val="0"/>
        <w:adjustRightInd w:val="0"/>
        <w:ind w:left="426" w:hanging="426"/>
        <w:jc w:val="both"/>
        <w:rPr>
          <w:rFonts w:cs="Arial"/>
          <w:color w:val="000000"/>
          <w:lang w:val="en-US" w:eastAsia="en-US"/>
        </w:rPr>
      </w:pPr>
      <w:r w:rsidRPr="00CE58F3">
        <w:rPr>
          <w:rFonts w:cs="Arial"/>
          <w:color w:val="000000"/>
          <w:lang w:val="en-US" w:eastAsia="en-US"/>
        </w:rPr>
        <w:t>in-patients</w:t>
      </w:r>
    </w:p>
    <w:p w:rsidR="0085716E" w:rsidRDefault="0085716E" w:rsidP="0085143B">
      <w:pPr>
        <w:numPr>
          <w:ilvl w:val="0"/>
          <w:numId w:val="25"/>
        </w:numPr>
        <w:autoSpaceDE w:val="0"/>
        <w:autoSpaceDN w:val="0"/>
        <w:adjustRightInd w:val="0"/>
        <w:ind w:left="426" w:hanging="426"/>
        <w:jc w:val="both"/>
        <w:rPr>
          <w:rFonts w:cs="Arial"/>
          <w:color w:val="000000"/>
          <w:lang w:val="en-US" w:eastAsia="en-US"/>
        </w:rPr>
      </w:pPr>
      <w:r w:rsidRPr="00CE58F3">
        <w:rPr>
          <w:rFonts w:cs="Arial"/>
          <w:color w:val="000000"/>
          <w:lang w:val="en-US" w:eastAsia="en-US"/>
        </w:rPr>
        <w:t>continued bleeding after admission</w:t>
      </w:r>
    </w:p>
    <w:p w:rsidR="0085716E" w:rsidRDefault="0085716E" w:rsidP="0085143B">
      <w:pPr>
        <w:numPr>
          <w:ilvl w:val="0"/>
          <w:numId w:val="25"/>
        </w:numPr>
        <w:autoSpaceDE w:val="0"/>
        <w:autoSpaceDN w:val="0"/>
        <w:adjustRightInd w:val="0"/>
        <w:ind w:left="426" w:hanging="426"/>
        <w:jc w:val="both"/>
        <w:rPr>
          <w:rFonts w:cs="Arial"/>
          <w:color w:val="000000"/>
          <w:lang w:val="en-US" w:eastAsia="en-US"/>
        </w:rPr>
      </w:pPr>
      <w:r w:rsidRPr="00CE58F3">
        <w:rPr>
          <w:rFonts w:cs="Arial"/>
          <w:color w:val="000000"/>
          <w:lang w:val="en-US" w:eastAsia="en-US"/>
        </w:rPr>
        <w:t>initial haematemesis or haematochezia</w:t>
      </w:r>
    </w:p>
    <w:p w:rsidR="0085716E" w:rsidRDefault="0085716E" w:rsidP="0085143B">
      <w:pPr>
        <w:numPr>
          <w:ilvl w:val="0"/>
          <w:numId w:val="25"/>
        </w:numPr>
        <w:autoSpaceDE w:val="0"/>
        <w:autoSpaceDN w:val="0"/>
        <w:adjustRightInd w:val="0"/>
        <w:ind w:left="426" w:hanging="426"/>
        <w:jc w:val="both"/>
        <w:rPr>
          <w:rFonts w:cs="Arial"/>
          <w:color w:val="000000"/>
          <w:lang w:val="en-US" w:eastAsia="en-US"/>
        </w:rPr>
      </w:pPr>
      <w:r w:rsidRPr="00CE58F3">
        <w:rPr>
          <w:rFonts w:cs="Arial"/>
          <w:color w:val="000000"/>
          <w:lang w:val="en-US" w:eastAsia="en-US"/>
        </w:rPr>
        <w:t>specific drugs (aspirin or NSAIDs).</w:t>
      </w:r>
      <w:r w:rsidRPr="00CE58F3">
        <w:rPr>
          <w:rFonts w:cs="Arial"/>
          <w:color w:val="000000"/>
        </w:rPr>
        <w:t xml:space="preserve"> </w:t>
      </w:r>
    </w:p>
    <w:p w:rsidR="0085716E" w:rsidRPr="00CE58F3" w:rsidRDefault="0085716E" w:rsidP="00CE58F3">
      <w:pPr>
        <w:jc w:val="both"/>
        <w:rPr>
          <w:rFonts w:cs="Arial"/>
          <w:color w:val="000000"/>
        </w:rPr>
      </w:pPr>
    </w:p>
    <w:p w:rsidR="0085716E" w:rsidRPr="00CE58F3" w:rsidRDefault="0085716E" w:rsidP="00CE58F3">
      <w:pPr>
        <w:jc w:val="both"/>
        <w:rPr>
          <w:rFonts w:cs="Arial"/>
          <w:b/>
        </w:rPr>
      </w:pPr>
      <w:r w:rsidRPr="00CE58F3">
        <w:rPr>
          <w:rFonts w:cs="Arial"/>
          <w:b/>
        </w:rPr>
        <w:t>4.2.2 Upper gastrointestinal endoscopy</w:t>
      </w:r>
    </w:p>
    <w:p w:rsidR="0085716E" w:rsidRPr="00CE58F3" w:rsidRDefault="0085716E" w:rsidP="00CE58F3">
      <w:pPr>
        <w:jc w:val="both"/>
        <w:rPr>
          <w:rFonts w:cs="Arial"/>
          <w:b/>
          <w:color w:val="000000"/>
        </w:rPr>
      </w:pPr>
    </w:p>
    <w:p w:rsidR="0085716E" w:rsidRPr="00C36EA5" w:rsidRDefault="0085716E" w:rsidP="00C36EA5">
      <w:pPr>
        <w:jc w:val="both"/>
        <w:rPr>
          <w:rFonts w:cs="Arial"/>
          <w:color w:val="000000"/>
        </w:rPr>
      </w:pPr>
      <w:r w:rsidRPr="00C36EA5">
        <w:rPr>
          <w:rFonts w:cs="Arial"/>
          <w:color w:val="000000"/>
        </w:rPr>
        <w:t>Early diagnosis and haemostasis achieved endoscopically is the ideal.  Whilst resuscitation and stabilisation is desirable prior to endoscopy, in cases when this cannot be achieved, particularly because of ongoing haemorrhage, endoscopy should not be delayed.  Anaesthetic support to safeguard airway and continue fluid resuscitation is required</w:t>
      </w:r>
    </w:p>
    <w:p w:rsidR="0085716E" w:rsidRPr="00CE58F3" w:rsidRDefault="0085716E" w:rsidP="00CE58F3">
      <w:pPr>
        <w:jc w:val="both"/>
        <w:rPr>
          <w:rFonts w:cs="Arial"/>
          <w:color w:val="000000"/>
        </w:rPr>
      </w:pPr>
    </w:p>
    <w:p w:rsidR="0085716E" w:rsidRDefault="0085716E" w:rsidP="00C36EA5">
      <w:pPr>
        <w:pStyle w:val="CommentText"/>
        <w:rPr>
          <w:sz w:val="24"/>
          <w:szCs w:val="24"/>
        </w:rPr>
      </w:pPr>
      <w:r w:rsidRPr="00C36EA5">
        <w:rPr>
          <w:sz w:val="24"/>
          <w:szCs w:val="24"/>
        </w:rPr>
        <w:t>The endoscopist and endoscopy nurse assisting should be skilled in all modalities of therapy for variceal and non-variceal bleeding.  For the former</w:t>
      </w:r>
      <w:r>
        <w:rPr>
          <w:sz w:val="24"/>
          <w:szCs w:val="24"/>
        </w:rPr>
        <w:t>, modalities include</w:t>
      </w:r>
      <w:r w:rsidRPr="00C36EA5">
        <w:rPr>
          <w:sz w:val="24"/>
          <w:szCs w:val="24"/>
        </w:rPr>
        <w:t xml:space="preserve"> oesophageal band ligation, cyanoacylate glue and Sengstaken Blakemore tube placement</w:t>
      </w:r>
      <w:r>
        <w:rPr>
          <w:sz w:val="24"/>
          <w:szCs w:val="24"/>
        </w:rPr>
        <w:t xml:space="preserve"> </w:t>
      </w:r>
      <w:r w:rsidRPr="00C36EA5">
        <w:rPr>
          <w:sz w:val="24"/>
          <w:szCs w:val="24"/>
        </w:rPr>
        <w:t>and for the latter at least dual therapies of injection of 1 in 10000 adrenaline, thermal therapy gold probe and haemostatic clips for Forrest 1a-2b lesions.</w:t>
      </w:r>
    </w:p>
    <w:p w:rsidR="0085716E" w:rsidRPr="00C36EA5" w:rsidRDefault="0085716E" w:rsidP="00C36EA5">
      <w:pPr>
        <w:pStyle w:val="CommentText"/>
        <w:rPr>
          <w:sz w:val="24"/>
          <w:szCs w:val="24"/>
        </w:rPr>
      </w:pPr>
    </w:p>
    <w:p w:rsidR="0085716E" w:rsidRDefault="0085716E" w:rsidP="00C36EA5">
      <w:pPr>
        <w:pStyle w:val="CommentText"/>
        <w:rPr>
          <w:sz w:val="24"/>
          <w:szCs w:val="24"/>
        </w:rPr>
      </w:pPr>
      <w:r w:rsidRPr="00C36EA5">
        <w:rPr>
          <w:sz w:val="24"/>
          <w:szCs w:val="24"/>
        </w:rPr>
        <w:t>Failed haemostasis at endoscopy or instability in the post-endoscopy period should trigger involvement of surgical and /or interventional radiology on call teams.  The former can offer laparotomy as an intervention for peptic ulcer disease; the interventional radiologist can coil bleeding arterial lesions, or arrange TIPS for persistent bleeding due to varices and portal hypertension.</w:t>
      </w:r>
    </w:p>
    <w:p w:rsidR="0085716E" w:rsidRPr="00C36EA5" w:rsidRDefault="0085716E" w:rsidP="00C36EA5">
      <w:pPr>
        <w:pStyle w:val="CommentText"/>
        <w:rPr>
          <w:sz w:val="24"/>
          <w:szCs w:val="24"/>
        </w:rPr>
      </w:pPr>
    </w:p>
    <w:p w:rsidR="0085716E" w:rsidRPr="00C36EA5" w:rsidRDefault="0085716E" w:rsidP="00C36EA5">
      <w:pPr>
        <w:pStyle w:val="CommentText"/>
        <w:rPr>
          <w:sz w:val="24"/>
          <w:szCs w:val="24"/>
        </w:rPr>
      </w:pPr>
      <w:r w:rsidRPr="00C36EA5">
        <w:rPr>
          <w:sz w:val="24"/>
          <w:szCs w:val="24"/>
        </w:rPr>
        <w:t>Endoscopy should be performed immediately after initial resuscitation in cases of severe upper GIB, and within 24 hrs for all other patients</w:t>
      </w:r>
    </w:p>
    <w:p w:rsidR="0085716E" w:rsidRPr="00CE58F3" w:rsidRDefault="0085716E" w:rsidP="00CE58F3">
      <w:pPr>
        <w:jc w:val="both"/>
        <w:rPr>
          <w:rFonts w:cs="Arial"/>
          <w:color w:val="000000"/>
        </w:rPr>
      </w:pP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rPr>
      </w:pPr>
      <w:r w:rsidRPr="00CE58F3">
        <w:rPr>
          <w:rFonts w:cs="Arial"/>
          <w:lang w:val="en-US" w:eastAsia="en-US"/>
        </w:rPr>
        <w:t>Endoscopy and endo-therapy should be repeated within 24 hours when initial endoscopic treatment was considered sub-optimal or in patients in whom rebleeding is likely to be life threatening.</w:t>
      </w:r>
    </w:p>
    <w:p w:rsidR="0085716E" w:rsidRPr="00CE58F3" w:rsidRDefault="0085716E" w:rsidP="00CE58F3">
      <w:pPr>
        <w:jc w:val="both"/>
        <w:rPr>
          <w:rFonts w:cs="Arial"/>
          <w:color w:val="000000"/>
        </w:rPr>
      </w:pPr>
    </w:p>
    <w:p w:rsidR="0085716E" w:rsidRPr="00C36EA5" w:rsidRDefault="0085716E" w:rsidP="00C36EA5">
      <w:pPr>
        <w:jc w:val="both"/>
        <w:rPr>
          <w:rFonts w:cs="Arial"/>
          <w:color w:val="000000"/>
        </w:rPr>
      </w:pPr>
      <w:r w:rsidRPr="00CE58F3">
        <w:rPr>
          <w:rFonts w:cs="Arial"/>
          <w:color w:val="000000"/>
        </w:rPr>
        <w:t>Endotracheal intubation is necessary if active haematemesis or unstable vital signs or altered mental state</w:t>
      </w:r>
      <w:r w:rsidRPr="00C36EA5">
        <w:t xml:space="preserve"> </w:t>
      </w:r>
      <w:r w:rsidRPr="00C36EA5">
        <w:rPr>
          <w:rFonts w:cs="Arial"/>
          <w:color w:val="000000"/>
        </w:rPr>
        <w:t>as is the case in acute alcohol withdrawal or hepatic encephalopathy often seen in cases of variceal haemorrhage</w:t>
      </w:r>
    </w:p>
    <w:p w:rsidR="0085716E" w:rsidRPr="00CE58F3" w:rsidRDefault="0085716E" w:rsidP="00CE58F3">
      <w:pPr>
        <w:jc w:val="both"/>
        <w:rPr>
          <w:rFonts w:cs="Arial"/>
          <w:color w:val="000000"/>
        </w:rPr>
      </w:pPr>
      <w:r>
        <w:rPr>
          <w:rFonts w:cs="Arial"/>
          <w:color w:val="000000"/>
        </w:rPr>
        <w:t xml:space="preserve"> </w:t>
      </w:r>
      <w:r w:rsidRPr="00CE58F3">
        <w:rPr>
          <w:rFonts w:cs="Arial"/>
          <w:color w:val="000000"/>
        </w:rPr>
        <w:t xml:space="preserve">. </w:t>
      </w:r>
    </w:p>
    <w:p w:rsidR="0085716E" w:rsidRPr="00CE58F3" w:rsidRDefault="0085716E" w:rsidP="00CE58F3">
      <w:pPr>
        <w:jc w:val="both"/>
        <w:rPr>
          <w:rFonts w:cs="Arial"/>
          <w:color w:val="000000"/>
        </w:rPr>
      </w:pPr>
    </w:p>
    <w:p w:rsidR="0085716E" w:rsidRPr="00CE58F3" w:rsidRDefault="0085716E" w:rsidP="00CE58F3">
      <w:pPr>
        <w:jc w:val="both"/>
        <w:rPr>
          <w:rFonts w:cs="Arial"/>
          <w:b/>
          <w:color w:val="000000"/>
        </w:rPr>
      </w:pPr>
      <w:r w:rsidRPr="00CE58F3">
        <w:rPr>
          <w:rFonts w:cs="Arial"/>
          <w:b/>
          <w:color w:val="000000"/>
        </w:rPr>
        <w:t>4.2.3 Lower gastrointestinal endoscopy</w:t>
      </w:r>
    </w:p>
    <w:p w:rsidR="0085716E" w:rsidRPr="00CE58F3" w:rsidRDefault="0085716E" w:rsidP="00CE58F3">
      <w:pPr>
        <w:jc w:val="both"/>
        <w:rPr>
          <w:rFonts w:cs="Arial"/>
          <w:b/>
          <w:color w:val="000000"/>
        </w:rPr>
      </w:pP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sidRPr="00CE58F3">
        <w:rPr>
          <w:rFonts w:cs="Arial"/>
          <w:lang w:val="en-US" w:eastAsia="en-US"/>
        </w:rPr>
        <w:t>Early endoscopic examination should be undertaken within 24 hours of initial presentation, where possible.  Consultation with the surgical team will guide the timing of this and surgical intervention.</w:t>
      </w:r>
    </w:p>
    <w:p w:rsidR="0085716E" w:rsidRPr="00CE58F3" w:rsidRDefault="0085716E" w:rsidP="00CE58F3">
      <w:pPr>
        <w:jc w:val="both"/>
        <w:rPr>
          <w:rFonts w:cs="Arial"/>
          <w:color w:val="000000"/>
        </w:rPr>
      </w:pPr>
    </w:p>
    <w:p w:rsidR="0085716E" w:rsidRPr="00CE58F3" w:rsidRDefault="0085716E" w:rsidP="00CE58F3">
      <w:pPr>
        <w:jc w:val="both"/>
        <w:rPr>
          <w:rFonts w:cs="Arial"/>
          <w:b/>
          <w:color w:val="000000"/>
        </w:rPr>
      </w:pPr>
      <w:r w:rsidRPr="00CE58F3">
        <w:rPr>
          <w:rFonts w:cs="Arial"/>
          <w:b/>
          <w:color w:val="000000"/>
        </w:rPr>
        <w:t>4.2.4 Pharmacological therapy</w:t>
      </w:r>
    </w:p>
    <w:p w:rsidR="0085716E" w:rsidRPr="00CE58F3" w:rsidRDefault="0085716E" w:rsidP="00CE58F3">
      <w:pPr>
        <w:jc w:val="both"/>
        <w:rPr>
          <w:rFonts w:cs="Arial"/>
          <w:color w:val="000000"/>
        </w:rPr>
      </w:pPr>
    </w:p>
    <w:p w:rsidR="0085716E" w:rsidRPr="00CE58F3" w:rsidRDefault="0085716E" w:rsidP="00CE58F3">
      <w:pPr>
        <w:jc w:val="both"/>
        <w:rPr>
          <w:rFonts w:cs="Arial"/>
        </w:rPr>
      </w:pPr>
      <w:r w:rsidRPr="00CE58F3">
        <w:rPr>
          <w:rFonts w:cs="Arial"/>
          <w:color w:val="000000"/>
        </w:rPr>
        <w:t>Although the place of Intravenous (IV) proton pump inhibition therapy in patients with major peptic ulcer bleeding following endoscopic therapy is recommended, it is often administered prior to endoscopy.  There is evidence that its use can result in a</w:t>
      </w:r>
      <w:r w:rsidRPr="00CE58F3">
        <w:rPr>
          <w:rFonts w:cs="Arial"/>
        </w:rPr>
        <w:t xml:space="preserve"> shorter length of stay, fewer actively bleeding ulcers, and more ulcers with a clean base</w:t>
      </w:r>
      <w:r w:rsidRPr="00CE58F3">
        <w:rPr>
          <w:rFonts w:cs="Arial"/>
          <w:vertAlign w:val="superscript"/>
        </w:rPr>
        <w:t>8</w:t>
      </w:r>
      <w:r w:rsidRPr="00CE58F3">
        <w:rPr>
          <w:rFonts w:cs="Arial"/>
        </w:rPr>
        <w:t xml:space="preserve">.  </w:t>
      </w:r>
    </w:p>
    <w:p w:rsidR="0085716E" w:rsidRPr="00CE58F3" w:rsidRDefault="0085716E" w:rsidP="00CE58F3">
      <w:pPr>
        <w:jc w:val="both"/>
        <w:rPr>
          <w:rFonts w:cs="Arial"/>
        </w:rPr>
      </w:pPr>
    </w:p>
    <w:p w:rsidR="0085716E" w:rsidRPr="00CE58F3" w:rsidRDefault="0085716E" w:rsidP="00CE58F3">
      <w:pPr>
        <w:jc w:val="both"/>
        <w:rPr>
          <w:rFonts w:cs="Arial"/>
          <w:color w:val="000000"/>
        </w:rPr>
      </w:pPr>
      <w:r w:rsidRPr="00CE58F3">
        <w:rPr>
          <w:rFonts w:cs="Arial"/>
          <w:color w:val="000000"/>
        </w:rPr>
        <w:t>The commencement of IV terlipressin is recommended if there is a risk of variceal haemorrhage.</w:t>
      </w:r>
    </w:p>
    <w:p w:rsidR="0085716E" w:rsidRPr="00CE58F3" w:rsidRDefault="0085716E" w:rsidP="00CE58F3">
      <w:pPr>
        <w:jc w:val="both"/>
        <w:rPr>
          <w:rFonts w:cs="Arial"/>
          <w:color w:val="000000"/>
        </w:rPr>
      </w:pP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sidRPr="00CE58F3">
        <w:rPr>
          <w:rFonts w:cs="Arial"/>
          <w:lang w:val="en-US" w:eastAsia="en-US"/>
        </w:rPr>
        <w:t>Antibiotic therapy should be commenced in patients with chronic liver disease who present with acute upper gastrointestinal haemorrhage.</w:t>
      </w:r>
    </w:p>
    <w:p w:rsidR="0085716E" w:rsidRPr="00CE58F3" w:rsidRDefault="0085716E" w:rsidP="00CE58F3">
      <w:pPr>
        <w:jc w:val="both"/>
        <w:rPr>
          <w:rFonts w:cs="Arial"/>
          <w:color w:val="000000"/>
        </w:rPr>
      </w:pPr>
    </w:p>
    <w:p w:rsidR="0085716E" w:rsidRPr="00CE58F3" w:rsidRDefault="0085716E" w:rsidP="00CE58F3">
      <w:pPr>
        <w:jc w:val="both"/>
        <w:rPr>
          <w:rFonts w:cs="Arial"/>
          <w:color w:val="000000"/>
          <w:lang w:val="en-US" w:eastAsia="en-US"/>
        </w:rPr>
      </w:pPr>
      <w:r w:rsidRPr="00CE58F3">
        <w:rPr>
          <w:rFonts w:cs="Arial"/>
          <w:color w:val="000000"/>
        </w:rPr>
        <w:t>Nasogastric aspiration may identify high-risk upper GI haemorrhage, allow lavage and facilitate endoscopy but</w:t>
      </w:r>
      <w:r w:rsidRPr="00CE58F3">
        <w:rPr>
          <w:rFonts w:cs="Arial"/>
          <w:color w:val="000000"/>
          <w:lang w:val="en-US" w:eastAsia="en-US"/>
        </w:rPr>
        <w:t xml:space="preserve"> </w:t>
      </w:r>
      <w:r w:rsidRPr="00CE58F3">
        <w:rPr>
          <w:rFonts w:cs="Arial"/>
          <w:color w:val="000000"/>
          <w:u w:val="single"/>
          <w:lang w:val="en-US" w:eastAsia="en-US"/>
        </w:rPr>
        <w:t>no</w:t>
      </w:r>
      <w:r w:rsidRPr="00CE58F3">
        <w:rPr>
          <w:rFonts w:cs="Arial"/>
          <w:color w:val="000000"/>
          <w:lang w:val="en-US" w:eastAsia="en-US"/>
        </w:rPr>
        <w:t xml:space="preserve"> evidence that it alters outcome has been identified.</w:t>
      </w:r>
    </w:p>
    <w:p w:rsidR="0085716E" w:rsidRPr="00CE58F3" w:rsidRDefault="0085716E" w:rsidP="00CE58F3">
      <w:pPr>
        <w:jc w:val="both"/>
        <w:rPr>
          <w:rFonts w:cs="Arial"/>
          <w:color w:val="000000"/>
        </w:rPr>
      </w:pPr>
    </w:p>
    <w:p w:rsidR="0085716E" w:rsidRPr="00CE58F3" w:rsidRDefault="0085716E" w:rsidP="00CE58F3">
      <w:pPr>
        <w:jc w:val="both"/>
        <w:rPr>
          <w:rFonts w:cs="Arial"/>
          <w:color w:val="000000"/>
        </w:rPr>
      </w:pPr>
    </w:p>
    <w:p w:rsidR="0085716E" w:rsidRPr="00CE58F3" w:rsidRDefault="0085716E" w:rsidP="00CE58F3">
      <w:pPr>
        <w:jc w:val="both"/>
        <w:rPr>
          <w:rFonts w:cs="Arial"/>
          <w:b/>
          <w:color w:val="000000"/>
        </w:rPr>
      </w:pPr>
      <w:r w:rsidRPr="00CE58F3">
        <w:rPr>
          <w:rFonts w:cs="Arial"/>
          <w:b/>
          <w:color w:val="000000"/>
        </w:rPr>
        <w:t>4.2.5 Other modalities</w:t>
      </w:r>
    </w:p>
    <w:p w:rsidR="0085716E" w:rsidRPr="00CE58F3" w:rsidRDefault="0085716E" w:rsidP="00CE58F3">
      <w:pPr>
        <w:jc w:val="both"/>
        <w:rPr>
          <w:rFonts w:cs="Arial"/>
          <w:color w:val="000000"/>
        </w:rPr>
      </w:pPr>
    </w:p>
    <w:p w:rsidR="0085716E" w:rsidRPr="00CE58F3" w:rsidRDefault="0085716E" w:rsidP="00CE58F3">
      <w:pPr>
        <w:jc w:val="both"/>
        <w:rPr>
          <w:rFonts w:cs="Arial"/>
          <w:color w:val="000000"/>
        </w:rPr>
      </w:pPr>
      <w:r w:rsidRPr="00CE58F3">
        <w:rPr>
          <w:rFonts w:cs="Arial"/>
          <w:color w:val="000000"/>
        </w:rPr>
        <w:t xml:space="preserve">Angiography and </w:t>
      </w:r>
      <w:r>
        <w:rPr>
          <w:rFonts w:cs="Arial"/>
          <w:color w:val="000000"/>
        </w:rPr>
        <w:t xml:space="preserve">coil </w:t>
      </w:r>
      <w:r w:rsidRPr="00CE58F3">
        <w:rPr>
          <w:rFonts w:cs="Arial"/>
          <w:color w:val="000000"/>
        </w:rPr>
        <w:t>embolisation may need to be considered in those in whom endoscopic treatment is not possible or successful (especially if they have had a second unsuccessful attempt at endoscopic haemostasis) and are not fit for surgery.</w:t>
      </w:r>
    </w:p>
    <w:p w:rsidR="0085716E" w:rsidRPr="00CE58F3" w:rsidRDefault="0085716E" w:rsidP="00CE58F3">
      <w:pPr>
        <w:jc w:val="both"/>
        <w:rPr>
          <w:rFonts w:cs="Arial"/>
          <w:color w:val="000000"/>
        </w:rPr>
      </w:pP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sidRPr="00CE58F3">
        <w:rPr>
          <w:rFonts w:cs="Arial"/>
          <w:lang w:val="en-US" w:eastAsia="en-US"/>
        </w:rPr>
        <w:t>Transjugular intrahepatic portosystemic stent shunting</w:t>
      </w:r>
      <w:r>
        <w:rPr>
          <w:rFonts w:cs="Arial"/>
          <w:lang w:val="en-US" w:eastAsia="en-US"/>
        </w:rPr>
        <w:t xml:space="preserve"> (TIPPS)</w:t>
      </w:r>
      <w:r w:rsidRPr="00CE58F3">
        <w:rPr>
          <w:rFonts w:cs="Arial"/>
          <w:lang w:val="en-US" w:eastAsia="en-US"/>
        </w:rPr>
        <w:t xml:space="preserve"> is recommended as the treatment of choice for uncontrolled variceal haemorrhage. </w:t>
      </w: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rPr>
      </w:pPr>
      <w:r w:rsidRPr="00CE58F3">
        <w:rPr>
          <w:rFonts w:cs="Arial"/>
          <w:lang w:val="en-US" w:eastAsia="en-US"/>
        </w:rPr>
        <w:t xml:space="preserve">Balloon tamponade </w:t>
      </w:r>
      <w:r>
        <w:rPr>
          <w:rFonts w:cs="Arial"/>
          <w:lang w:val="en-US" w:eastAsia="en-US"/>
        </w:rPr>
        <w:t xml:space="preserve">using a  </w:t>
      </w:r>
      <w:r>
        <w:t>Sengstaken-Blakemore tube</w:t>
      </w:r>
      <w:r w:rsidRPr="00CE58F3">
        <w:rPr>
          <w:rFonts w:cs="Arial"/>
          <w:lang w:val="en-US" w:eastAsia="en-US"/>
        </w:rPr>
        <w:t xml:space="preserve"> </w:t>
      </w:r>
      <w:r>
        <w:rPr>
          <w:rFonts w:cs="Arial"/>
          <w:lang w:val="en-US" w:eastAsia="en-US"/>
        </w:rPr>
        <w:t xml:space="preserve"> </w:t>
      </w:r>
      <w:r w:rsidRPr="00CE58F3">
        <w:rPr>
          <w:rFonts w:cs="Arial"/>
          <w:lang w:val="en-US" w:eastAsia="en-US"/>
        </w:rPr>
        <w:t>should be considered as a temporary salvage treatment for uncontrolled variceal haemorrhage.</w:t>
      </w:r>
    </w:p>
    <w:p w:rsidR="0085716E" w:rsidRPr="00CE58F3" w:rsidRDefault="0085716E" w:rsidP="00CE58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rPr>
      </w:pPr>
    </w:p>
    <w:p w:rsidR="0085716E" w:rsidRPr="00CE58F3" w:rsidRDefault="0085716E" w:rsidP="00CE58F3">
      <w:pPr>
        <w:jc w:val="both"/>
        <w:rPr>
          <w:rFonts w:cs="Arial"/>
          <w:color w:val="000000"/>
        </w:rPr>
      </w:pPr>
      <w:r w:rsidRPr="00CE58F3">
        <w:rPr>
          <w:rFonts w:cs="Arial"/>
          <w:color w:val="000000"/>
        </w:rPr>
        <w:t xml:space="preserve">The availability of the above interventions will depend on local resources and cases must be treated on an individual basis. </w:t>
      </w:r>
    </w:p>
    <w:p w:rsidR="0085716E" w:rsidRDefault="0085716E" w:rsidP="00B01DAD"/>
    <w:p w:rsidR="0085716E" w:rsidRDefault="0085716E" w:rsidP="0045269B">
      <w:pPr>
        <w:rPr>
          <w:b/>
        </w:rPr>
      </w:pPr>
      <w:r w:rsidRPr="0045269B">
        <w:rPr>
          <w:b/>
        </w:rPr>
        <w:t xml:space="preserve">4.2.6 Transfusion goals in </w:t>
      </w:r>
      <w:r>
        <w:rPr>
          <w:b/>
        </w:rPr>
        <w:t>major gastrointestinal haemorrhage*</w:t>
      </w:r>
    </w:p>
    <w:p w:rsidR="0085716E" w:rsidRDefault="0085716E" w:rsidP="0045269B">
      <w:pPr>
        <w:rPr>
          <w:b/>
        </w:rPr>
      </w:pPr>
    </w:p>
    <w:p w:rsidR="0085716E" w:rsidRPr="002C0566" w:rsidRDefault="0085716E" w:rsidP="002C0566">
      <w:pPr>
        <w:numPr>
          <w:ilvl w:val="0"/>
          <w:numId w:val="31"/>
        </w:numPr>
        <w:rPr>
          <w:rFonts w:cs="Arial"/>
        </w:rPr>
      </w:pPr>
      <w:r w:rsidRPr="00C47DEA">
        <w:rPr>
          <w:rFonts w:cs="Arial"/>
        </w:rPr>
        <w:t>Hb</w:t>
      </w:r>
      <w:r>
        <w:rPr>
          <w:rFonts w:cs="Arial"/>
        </w:rPr>
        <w:t>80-100g</w:t>
      </w:r>
      <w:r w:rsidRPr="00C47DEA">
        <w:rPr>
          <w:rFonts w:cs="Arial"/>
        </w:rPr>
        <w:t xml:space="preserve">/L </w:t>
      </w:r>
    </w:p>
    <w:p w:rsidR="0085716E" w:rsidRPr="00C47DEA" w:rsidRDefault="0085716E" w:rsidP="0045269B">
      <w:pPr>
        <w:numPr>
          <w:ilvl w:val="0"/>
          <w:numId w:val="31"/>
        </w:numPr>
        <w:rPr>
          <w:rFonts w:cs="Arial"/>
        </w:rPr>
      </w:pPr>
      <w:r w:rsidRPr="00C47DEA">
        <w:rPr>
          <w:rFonts w:cs="Arial"/>
        </w:rPr>
        <w:t>Fibrinogen &gt;1.</w:t>
      </w:r>
      <w:r>
        <w:rPr>
          <w:rFonts w:cs="Arial"/>
        </w:rPr>
        <w:t>5</w:t>
      </w:r>
      <w:r w:rsidRPr="00C47DEA">
        <w:rPr>
          <w:rFonts w:cs="Arial"/>
        </w:rPr>
        <w:t xml:space="preserve">g/L. </w:t>
      </w:r>
    </w:p>
    <w:p w:rsidR="0085716E" w:rsidRPr="00C47DEA" w:rsidRDefault="0085716E" w:rsidP="0045269B">
      <w:pPr>
        <w:numPr>
          <w:ilvl w:val="0"/>
          <w:numId w:val="31"/>
        </w:numPr>
        <w:rPr>
          <w:rFonts w:cs="Arial"/>
        </w:rPr>
      </w:pPr>
      <w:r w:rsidRPr="00C47DEA">
        <w:rPr>
          <w:rFonts w:cs="Arial"/>
        </w:rPr>
        <w:t>Platelets &gt;</w:t>
      </w:r>
      <w:r>
        <w:rPr>
          <w:rFonts w:cs="Arial"/>
        </w:rPr>
        <w:t xml:space="preserve">50 </w:t>
      </w:r>
      <w:r w:rsidRPr="00C47DEA">
        <w:rPr>
          <w:rFonts w:cs="Arial"/>
        </w:rPr>
        <w:t>x10</w:t>
      </w:r>
      <w:r w:rsidRPr="00C47DEA">
        <w:rPr>
          <w:rFonts w:cs="Arial"/>
          <w:vertAlign w:val="superscript"/>
        </w:rPr>
        <w:t>9</w:t>
      </w:r>
      <w:r w:rsidRPr="00C47DEA">
        <w:rPr>
          <w:rFonts w:cs="Arial"/>
        </w:rPr>
        <w:t>/L.</w:t>
      </w:r>
    </w:p>
    <w:p w:rsidR="0085716E" w:rsidRDefault="0085716E" w:rsidP="0045269B">
      <w:pPr>
        <w:numPr>
          <w:ilvl w:val="0"/>
          <w:numId w:val="31"/>
        </w:numPr>
        <w:rPr>
          <w:rFonts w:cs="Arial"/>
        </w:rPr>
      </w:pPr>
      <w:r w:rsidRPr="00C47DEA">
        <w:rPr>
          <w:rFonts w:cs="Arial"/>
        </w:rPr>
        <w:t xml:space="preserve">PT &amp; APTT ratio &lt;1.5 </w:t>
      </w:r>
    </w:p>
    <w:p w:rsidR="0085716E" w:rsidRDefault="0085716E" w:rsidP="002C0566">
      <w:pPr>
        <w:rPr>
          <w:rFonts w:cs="Arial"/>
        </w:rPr>
      </w:pPr>
    </w:p>
    <w:p w:rsidR="0085716E" w:rsidRPr="002C0566" w:rsidRDefault="0085716E" w:rsidP="002C0566">
      <w:pPr>
        <w:rPr>
          <w:rFonts w:cs="Arial"/>
        </w:rPr>
      </w:pPr>
      <w:r>
        <w:rPr>
          <w:rFonts w:cs="Arial"/>
        </w:rPr>
        <w:t>*</w:t>
      </w:r>
      <w:r w:rsidRPr="002C0566">
        <w:t xml:space="preserve"> </w:t>
      </w:r>
      <w:r w:rsidRPr="002C0566">
        <w:rPr>
          <w:rFonts w:cs="Arial"/>
          <w:b/>
        </w:rPr>
        <w:t>Transfusion in GI haemorrhage</w:t>
      </w:r>
    </w:p>
    <w:p w:rsidR="0085716E" w:rsidRPr="002C0566" w:rsidRDefault="0085716E" w:rsidP="002C0566">
      <w:pPr>
        <w:numPr>
          <w:ilvl w:val="0"/>
          <w:numId w:val="31"/>
        </w:numPr>
        <w:rPr>
          <w:rFonts w:cs="Arial"/>
        </w:rPr>
      </w:pPr>
      <w:r w:rsidRPr="002C0566">
        <w:rPr>
          <w:rFonts w:cs="Arial"/>
        </w:rPr>
        <w:t xml:space="preserve">In the absence of </w:t>
      </w:r>
      <w:r>
        <w:rPr>
          <w:rFonts w:cs="Arial"/>
        </w:rPr>
        <w:t>major</w:t>
      </w:r>
      <w:r w:rsidRPr="002C0566">
        <w:rPr>
          <w:rFonts w:cs="Arial"/>
        </w:rPr>
        <w:t xml:space="preserve"> haemorrhage and shock the  threshold for transfusion  of red cells is 7</w:t>
      </w:r>
      <w:r>
        <w:rPr>
          <w:rFonts w:cs="Arial"/>
        </w:rPr>
        <w:t>0</w:t>
      </w:r>
      <w:r w:rsidRPr="002C0566">
        <w:rPr>
          <w:rFonts w:cs="Arial"/>
        </w:rPr>
        <w:t>-8</w:t>
      </w:r>
      <w:r>
        <w:rPr>
          <w:rFonts w:cs="Arial"/>
        </w:rPr>
        <w:t>0</w:t>
      </w:r>
      <w:r w:rsidRPr="002C0566">
        <w:rPr>
          <w:rFonts w:cs="Arial"/>
        </w:rPr>
        <w:t xml:space="preserve"> g </w:t>
      </w:r>
      <w:r>
        <w:rPr>
          <w:rFonts w:cs="Arial"/>
        </w:rPr>
        <w:t>/L (</w:t>
      </w:r>
      <w:r>
        <w:t>there is some evidence to suggest that transfusion at higher thresholds increases the risk of rebleeding</w:t>
      </w:r>
      <w:r w:rsidRPr="00AF7A0B">
        <w:rPr>
          <w:vertAlign w:val="superscript"/>
        </w:rPr>
        <w:t>9</w:t>
      </w:r>
      <w:r>
        <w:t xml:space="preserve">  )</w:t>
      </w:r>
    </w:p>
    <w:p w:rsidR="0085716E" w:rsidRPr="00C47DEA" w:rsidRDefault="0085716E" w:rsidP="002C0566">
      <w:pPr>
        <w:rPr>
          <w:rFonts w:cs="Arial"/>
        </w:rPr>
      </w:pPr>
    </w:p>
    <w:p w:rsidR="0085716E" w:rsidRDefault="0085716E" w:rsidP="0045269B">
      <w:pPr>
        <w:rPr>
          <w:b/>
        </w:rPr>
      </w:pPr>
    </w:p>
    <w:p w:rsidR="0085716E" w:rsidRPr="0045269B" w:rsidRDefault="0085716E" w:rsidP="0045269B">
      <w:pPr>
        <w:rPr>
          <w:b/>
        </w:rPr>
      </w:pPr>
    </w:p>
    <w:p w:rsidR="0085716E" w:rsidRDefault="0085716E" w:rsidP="00B01DAD">
      <w:pPr>
        <w:rPr>
          <w:rFonts w:cs="Arial"/>
          <w:b/>
          <w:color w:val="000000"/>
          <w:sz w:val="18"/>
          <w:szCs w:val="18"/>
        </w:rPr>
      </w:pPr>
      <w:r>
        <w:rPr>
          <w:rFonts w:cs="Arial"/>
          <w:b/>
          <w:color w:val="000000"/>
          <w:sz w:val="18"/>
          <w:szCs w:val="18"/>
        </w:rPr>
        <w:br w:type="page"/>
      </w:r>
    </w:p>
    <w:p w:rsidR="0085716E" w:rsidRDefault="0085716E" w:rsidP="00B01DAD">
      <w:pPr>
        <w:rPr>
          <w:rFonts w:cs="Arial"/>
          <w:b/>
          <w:color w:val="000000"/>
          <w:sz w:val="18"/>
          <w:szCs w:val="18"/>
        </w:rPr>
      </w:pPr>
    </w:p>
    <w:p w:rsidR="0085716E" w:rsidRDefault="0085716E" w:rsidP="008F51B6">
      <w:pPr>
        <w:numPr>
          <w:ilvl w:val="0"/>
          <w:numId w:val="26"/>
        </w:numPr>
        <w:rPr>
          <w:b/>
        </w:rPr>
      </w:pPr>
      <w:r w:rsidRPr="00946698">
        <w:rPr>
          <w:b/>
        </w:rPr>
        <w:t>Paediatrics</w:t>
      </w:r>
    </w:p>
    <w:p w:rsidR="0085716E" w:rsidRPr="00946698" w:rsidRDefault="0085716E" w:rsidP="00946D2D">
      <w:pPr>
        <w:rPr>
          <w:b/>
        </w:rPr>
      </w:pPr>
    </w:p>
    <w:p w:rsidR="0085716E" w:rsidRPr="00B9104B" w:rsidRDefault="0085716E" w:rsidP="00BF63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rPr>
      </w:pPr>
      <w:r>
        <w:rPr>
          <w:b/>
        </w:rPr>
        <w:t xml:space="preserve">5.1 </w:t>
      </w:r>
      <w:r w:rsidRPr="006B3458">
        <w:rPr>
          <w:rFonts w:cs="Arial"/>
          <w:b/>
        </w:rPr>
        <w:t>Who should be included i</w:t>
      </w:r>
      <w:r>
        <w:rPr>
          <w:rFonts w:cs="Arial"/>
          <w:b/>
        </w:rPr>
        <w:t>n the team?</w:t>
      </w:r>
    </w:p>
    <w:p w:rsidR="0085716E" w:rsidRDefault="0085716E" w:rsidP="00946D2D">
      <w:r>
        <w:t>This will depend on the facilities available in hospital.</w:t>
      </w:r>
    </w:p>
    <w:p w:rsidR="0085716E" w:rsidRDefault="0085716E" w:rsidP="00946D2D">
      <w:r>
        <w:t>In district general hospitals, a major haemorrhage in a neonate or child should trigger a “Paediatric Crashcall” to ensure that at least a Paediatric middle grade doctor (Specialist Registrar, Speciality Trainee 4 or above) and  Paediatric Specialty Trainee 1-3 are in attendance. A Consultant Paediatrician should be alerted to the situation urgently if not already present.</w:t>
      </w:r>
    </w:p>
    <w:p w:rsidR="0085716E" w:rsidRDefault="0085716E" w:rsidP="00946D2D">
      <w:r>
        <w:t>Other team members will depend on the specifics of the situation as outlined in the other specialty sections, for example the Trauma Team in a trauma situation, or surgical team in the case of a post-operative bleed.</w:t>
      </w:r>
    </w:p>
    <w:p w:rsidR="0085716E" w:rsidRDefault="0085716E" w:rsidP="00946D2D">
      <w:r>
        <w:t>Staff present should be familiar with the location and use of all equipment necessary such as vascular access devices, rapid infusors, fluid warmers and advanced airway equipment.</w:t>
      </w:r>
    </w:p>
    <w:p w:rsidR="0085716E" w:rsidRDefault="0085716E" w:rsidP="00946D2D">
      <w:r>
        <w:t>Discussions should begin with the local Paediatric Intensive Care Unit, and with specialist paediatric services such as Paediatric Surgery as soon as is practicable for advice regarding continuing management and definitive care.</w:t>
      </w:r>
    </w:p>
    <w:p w:rsidR="0085716E" w:rsidRDefault="0085716E" w:rsidP="00946D2D">
      <w:r>
        <w:t>In tertiary paediatric hospitals, the members of the team to be alerted may more closely mirror those in adult situations.</w:t>
      </w:r>
    </w:p>
    <w:p w:rsidR="0085716E" w:rsidRDefault="0085716E" w:rsidP="00946D2D">
      <w:r>
        <w:t>For a Major Haemorrhage on ward, a senior Paediatrician should be alerted at least, but most of these events are likely to trigger a crashcall.</w:t>
      </w:r>
    </w:p>
    <w:p w:rsidR="0085716E" w:rsidRDefault="0085716E" w:rsidP="00946D2D"/>
    <w:p w:rsidR="0085716E" w:rsidRPr="00FE6AFC" w:rsidRDefault="0085716E" w:rsidP="00946D2D">
      <w:pPr>
        <w:rPr>
          <w:b/>
        </w:rPr>
      </w:pPr>
      <w:r>
        <w:rPr>
          <w:b/>
        </w:rPr>
        <w:t xml:space="preserve">5.2 </w:t>
      </w:r>
      <w:r w:rsidRPr="00B9104B">
        <w:rPr>
          <w:b/>
        </w:rPr>
        <w:t>Additional Management Aspects</w:t>
      </w:r>
    </w:p>
    <w:p w:rsidR="0085716E" w:rsidRDefault="0085716E" w:rsidP="00946D2D">
      <w:r>
        <w:t>Many of the general principles outlined in the other specialty sections equally apply to when those situations occur in children, and the guidance given in those sections should be considered.</w:t>
      </w:r>
    </w:p>
    <w:p w:rsidR="0085716E" w:rsidRDefault="0085716E" w:rsidP="00946D2D"/>
    <w:p w:rsidR="0085716E" w:rsidRDefault="0085716E" w:rsidP="00946D2D">
      <w:r>
        <w:t>However, physiologically and psychologically, neonates and children behave differently to adults, and so there are some specific points which should be noted.</w:t>
      </w:r>
    </w:p>
    <w:p w:rsidR="0085716E" w:rsidRDefault="0085716E" w:rsidP="00946D2D"/>
    <w:p w:rsidR="0085716E" w:rsidRDefault="0085716E" w:rsidP="00946D2D">
      <w:pPr>
        <w:rPr>
          <w:b/>
        </w:rPr>
      </w:pPr>
      <w:r>
        <w:rPr>
          <w:b/>
        </w:rPr>
        <w:t xml:space="preserve">5.2.1 </w:t>
      </w:r>
      <w:r w:rsidRPr="00946D2D">
        <w:rPr>
          <w:b/>
        </w:rPr>
        <w:t>Shock</w:t>
      </w:r>
    </w:p>
    <w:p w:rsidR="0085716E" w:rsidRDefault="0085716E" w:rsidP="00FE652F">
      <w:r>
        <w:t xml:space="preserve">Indicators of shock in children are as follows: </w:t>
      </w:r>
    </w:p>
    <w:p w:rsidR="0085716E" w:rsidRDefault="0085716E" w:rsidP="00FE652F">
      <w:r w:rsidRPr="00FE652F">
        <w:t xml:space="preserve">combination of at least 2 of: </w:t>
      </w:r>
    </w:p>
    <w:p w:rsidR="0085716E" w:rsidRDefault="0085716E" w:rsidP="00FE652F"/>
    <w:p w:rsidR="0085716E" w:rsidRPr="00FE652F" w:rsidRDefault="0085716E" w:rsidP="00FE652F">
      <w:r>
        <w:t>T</w:t>
      </w:r>
      <w:r w:rsidRPr="00FE652F">
        <w:t>achycardia, bradycardia, BP less than 5th centile (see table</w:t>
      </w:r>
      <w:r>
        <w:t xml:space="preserve"> 1</w:t>
      </w:r>
      <w:r w:rsidRPr="00FE652F">
        <w:t xml:space="preserve">) or pulse pressure &lt;20mmHg, </w:t>
      </w:r>
      <w:r>
        <w:t xml:space="preserve">capillary refill time </w:t>
      </w:r>
      <w:r w:rsidRPr="00FE652F">
        <w:t>&gt;3 seconds centrally or central / peripheral gap, abnormal conscious level – agitation, confusion, lack of normal social interaction, G</w:t>
      </w:r>
      <w:r>
        <w:t xml:space="preserve">lasgow </w:t>
      </w:r>
      <w:r w:rsidRPr="00FE652F">
        <w:t>C</w:t>
      </w:r>
      <w:r>
        <w:t xml:space="preserve">oma </w:t>
      </w:r>
      <w:r w:rsidRPr="00FE652F">
        <w:t>S</w:t>
      </w:r>
      <w:r>
        <w:t>core</w:t>
      </w:r>
      <w:r w:rsidRPr="00FE652F">
        <w:t>&lt;13 or falling, responds to only voice, pain or unresponsive</w:t>
      </w:r>
    </w:p>
    <w:p w:rsidR="0085716E" w:rsidRDefault="0085716E" w:rsidP="00946D2D"/>
    <w:p w:rsidR="0085716E" w:rsidRDefault="0085716E" w:rsidP="00946D2D">
      <w:r>
        <w:t>Of these, tachycardia is the most reliable early indicator, but all the available clinical information must be used to decide whether a patient is shocked.</w:t>
      </w:r>
    </w:p>
    <w:p w:rsidR="0085716E" w:rsidRDefault="0085716E" w:rsidP="00946D2D">
      <w:r>
        <w:t xml:space="preserve">The normal ranges of these vary with age. A reference table is provided to aid decision making: </w:t>
      </w:r>
    </w:p>
    <w:p w:rsidR="0085716E" w:rsidRDefault="0085716E" w:rsidP="00946D2D"/>
    <w:p w:rsidR="0085716E" w:rsidRDefault="0085716E" w:rsidP="00946D2D">
      <w:r>
        <w:t xml:space="preserve">Table 1: Paediatric reference values </w:t>
      </w:r>
      <w:r>
        <w:rPr>
          <w:vertAlign w:val="superscript"/>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1843"/>
        <w:gridCol w:w="1843"/>
        <w:gridCol w:w="1843"/>
        <w:gridCol w:w="1843"/>
      </w:tblGrid>
      <w:tr w:rsidR="0085716E" w:rsidTr="003046B7">
        <w:tc>
          <w:tcPr>
            <w:tcW w:w="1843" w:type="dxa"/>
            <w:vMerge w:val="restart"/>
          </w:tcPr>
          <w:p w:rsidR="0085716E" w:rsidRPr="003046B7" w:rsidRDefault="0085716E" w:rsidP="000646E6">
            <w:pPr>
              <w:rPr>
                <w:b/>
              </w:rPr>
            </w:pPr>
            <w:r w:rsidRPr="003046B7">
              <w:rPr>
                <w:b/>
              </w:rPr>
              <w:t>Age</w:t>
            </w:r>
          </w:p>
        </w:tc>
        <w:tc>
          <w:tcPr>
            <w:tcW w:w="3686" w:type="dxa"/>
            <w:gridSpan w:val="2"/>
          </w:tcPr>
          <w:p w:rsidR="0085716E" w:rsidRPr="003046B7" w:rsidRDefault="0085716E" w:rsidP="003046B7">
            <w:pPr>
              <w:jc w:val="center"/>
              <w:rPr>
                <w:b/>
              </w:rPr>
            </w:pPr>
            <w:r w:rsidRPr="003046B7">
              <w:rPr>
                <w:b/>
              </w:rPr>
              <w:t>Heart Rate</w:t>
            </w:r>
          </w:p>
          <w:p w:rsidR="0085716E" w:rsidRDefault="0085716E" w:rsidP="003046B7">
            <w:pPr>
              <w:jc w:val="center"/>
            </w:pPr>
            <w:r>
              <w:t>beats/min</w:t>
            </w:r>
          </w:p>
        </w:tc>
        <w:tc>
          <w:tcPr>
            <w:tcW w:w="1843" w:type="dxa"/>
            <w:vMerge w:val="restart"/>
          </w:tcPr>
          <w:p w:rsidR="0085716E" w:rsidRPr="003046B7" w:rsidRDefault="0085716E" w:rsidP="003046B7">
            <w:pPr>
              <w:jc w:val="center"/>
              <w:rPr>
                <w:b/>
              </w:rPr>
            </w:pPr>
            <w:r w:rsidRPr="003046B7">
              <w:rPr>
                <w:b/>
              </w:rPr>
              <w:t>Respiratory Rate</w:t>
            </w:r>
          </w:p>
          <w:p w:rsidR="0085716E" w:rsidRDefault="0085716E" w:rsidP="003046B7">
            <w:pPr>
              <w:jc w:val="center"/>
            </w:pPr>
            <w:r>
              <w:t>breaths/min</w:t>
            </w:r>
          </w:p>
        </w:tc>
        <w:tc>
          <w:tcPr>
            <w:tcW w:w="1844" w:type="dxa"/>
            <w:vMerge w:val="restart"/>
          </w:tcPr>
          <w:p w:rsidR="0085716E" w:rsidRPr="003046B7" w:rsidRDefault="0085716E" w:rsidP="003046B7">
            <w:pPr>
              <w:jc w:val="center"/>
              <w:rPr>
                <w:b/>
              </w:rPr>
            </w:pPr>
            <w:r w:rsidRPr="003046B7">
              <w:rPr>
                <w:b/>
              </w:rPr>
              <w:t>Systolic BP</w:t>
            </w:r>
          </w:p>
          <w:p w:rsidR="0085716E" w:rsidRDefault="0085716E" w:rsidP="003046B7">
            <w:pPr>
              <w:jc w:val="center"/>
            </w:pPr>
            <w:r>
              <w:t>mmHg</w:t>
            </w:r>
          </w:p>
        </w:tc>
      </w:tr>
      <w:tr w:rsidR="0085716E" w:rsidTr="003046B7">
        <w:tc>
          <w:tcPr>
            <w:tcW w:w="1843" w:type="dxa"/>
            <w:vMerge/>
          </w:tcPr>
          <w:p w:rsidR="0085716E" w:rsidRDefault="0085716E" w:rsidP="000646E6"/>
        </w:tc>
        <w:tc>
          <w:tcPr>
            <w:tcW w:w="1843" w:type="dxa"/>
          </w:tcPr>
          <w:p w:rsidR="0085716E" w:rsidRPr="005A6938" w:rsidRDefault="0085716E" w:rsidP="000646E6">
            <w:r w:rsidRPr="005A6938">
              <w:t>Tachycardia</w:t>
            </w:r>
          </w:p>
        </w:tc>
        <w:tc>
          <w:tcPr>
            <w:tcW w:w="1843" w:type="dxa"/>
          </w:tcPr>
          <w:p w:rsidR="0085716E" w:rsidRPr="005A6938" w:rsidRDefault="0085716E" w:rsidP="000646E6">
            <w:r w:rsidRPr="005A6938">
              <w:t>Bradycardia</w:t>
            </w:r>
          </w:p>
        </w:tc>
        <w:tc>
          <w:tcPr>
            <w:tcW w:w="1843" w:type="dxa"/>
            <w:vMerge/>
          </w:tcPr>
          <w:p w:rsidR="0085716E" w:rsidRDefault="0085716E" w:rsidP="000646E6"/>
        </w:tc>
        <w:tc>
          <w:tcPr>
            <w:tcW w:w="1844" w:type="dxa"/>
            <w:vMerge/>
          </w:tcPr>
          <w:p w:rsidR="0085716E" w:rsidRDefault="0085716E" w:rsidP="000646E6"/>
        </w:tc>
      </w:tr>
      <w:tr w:rsidR="0085716E" w:rsidTr="003046B7">
        <w:tc>
          <w:tcPr>
            <w:tcW w:w="1843" w:type="dxa"/>
          </w:tcPr>
          <w:p w:rsidR="0085716E" w:rsidRPr="005A6938" w:rsidRDefault="0085716E" w:rsidP="000646E6">
            <w:r w:rsidRPr="005A6938">
              <w:t>0-7 days</w:t>
            </w:r>
          </w:p>
        </w:tc>
        <w:tc>
          <w:tcPr>
            <w:tcW w:w="1843" w:type="dxa"/>
          </w:tcPr>
          <w:p w:rsidR="0085716E" w:rsidRPr="005A6938" w:rsidRDefault="0085716E" w:rsidP="000646E6">
            <w:r w:rsidRPr="005A6938">
              <w:t>&gt;180</w:t>
            </w:r>
          </w:p>
        </w:tc>
        <w:tc>
          <w:tcPr>
            <w:tcW w:w="1843" w:type="dxa"/>
          </w:tcPr>
          <w:p w:rsidR="0085716E" w:rsidRPr="005A6938" w:rsidRDefault="0085716E" w:rsidP="000646E6">
            <w:r w:rsidRPr="005A6938">
              <w:t>&lt;100</w:t>
            </w:r>
          </w:p>
        </w:tc>
        <w:tc>
          <w:tcPr>
            <w:tcW w:w="1843" w:type="dxa"/>
          </w:tcPr>
          <w:p w:rsidR="0085716E" w:rsidRPr="005A6938" w:rsidRDefault="0085716E" w:rsidP="000646E6">
            <w:r w:rsidRPr="005A6938">
              <w:t>&gt;50</w:t>
            </w:r>
          </w:p>
        </w:tc>
        <w:tc>
          <w:tcPr>
            <w:tcW w:w="1844" w:type="dxa"/>
          </w:tcPr>
          <w:p w:rsidR="0085716E" w:rsidRPr="005A6938" w:rsidRDefault="0085716E" w:rsidP="000646E6">
            <w:r w:rsidRPr="005A6938">
              <w:t>&lt;59</w:t>
            </w:r>
          </w:p>
        </w:tc>
      </w:tr>
      <w:tr w:rsidR="0085716E" w:rsidTr="003046B7">
        <w:tc>
          <w:tcPr>
            <w:tcW w:w="1843" w:type="dxa"/>
          </w:tcPr>
          <w:p w:rsidR="0085716E" w:rsidRPr="005A6938" w:rsidRDefault="0085716E" w:rsidP="000646E6">
            <w:r w:rsidRPr="005A6938">
              <w:t>7-28 days</w:t>
            </w:r>
          </w:p>
        </w:tc>
        <w:tc>
          <w:tcPr>
            <w:tcW w:w="1843" w:type="dxa"/>
          </w:tcPr>
          <w:p w:rsidR="0085716E" w:rsidRPr="005A6938" w:rsidRDefault="0085716E" w:rsidP="000646E6">
            <w:r w:rsidRPr="005A6938">
              <w:t>&gt;180</w:t>
            </w:r>
          </w:p>
        </w:tc>
        <w:tc>
          <w:tcPr>
            <w:tcW w:w="1843" w:type="dxa"/>
          </w:tcPr>
          <w:p w:rsidR="0085716E" w:rsidRPr="005A6938" w:rsidRDefault="0085716E" w:rsidP="000646E6">
            <w:r w:rsidRPr="005A6938">
              <w:t>&lt;100</w:t>
            </w:r>
          </w:p>
        </w:tc>
        <w:tc>
          <w:tcPr>
            <w:tcW w:w="1843" w:type="dxa"/>
          </w:tcPr>
          <w:p w:rsidR="0085716E" w:rsidRPr="005A6938" w:rsidRDefault="0085716E" w:rsidP="000646E6">
            <w:r>
              <w:t>&gt;4</w:t>
            </w:r>
            <w:r w:rsidRPr="005A6938">
              <w:t>0</w:t>
            </w:r>
          </w:p>
        </w:tc>
        <w:tc>
          <w:tcPr>
            <w:tcW w:w="1844" w:type="dxa"/>
          </w:tcPr>
          <w:p w:rsidR="0085716E" w:rsidRPr="005A6938" w:rsidRDefault="0085716E" w:rsidP="000646E6">
            <w:r>
              <w:t>&lt;7</w:t>
            </w:r>
            <w:r w:rsidRPr="005A6938">
              <w:t>9</w:t>
            </w:r>
          </w:p>
        </w:tc>
      </w:tr>
      <w:tr w:rsidR="0085716E" w:rsidTr="003046B7">
        <w:tc>
          <w:tcPr>
            <w:tcW w:w="1843" w:type="dxa"/>
          </w:tcPr>
          <w:p w:rsidR="0085716E" w:rsidRDefault="0085716E" w:rsidP="000646E6">
            <w:r>
              <w:t>1 month –</w:t>
            </w:r>
          </w:p>
          <w:p w:rsidR="0085716E" w:rsidRDefault="0085716E" w:rsidP="000646E6">
            <w:r>
              <w:t>1 year</w:t>
            </w:r>
          </w:p>
        </w:tc>
        <w:tc>
          <w:tcPr>
            <w:tcW w:w="1843" w:type="dxa"/>
          </w:tcPr>
          <w:p w:rsidR="0085716E" w:rsidRPr="005A6938" w:rsidRDefault="0085716E" w:rsidP="000646E6">
            <w:r w:rsidRPr="005A6938">
              <w:t>&gt;180</w:t>
            </w:r>
          </w:p>
        </w:tc>
        <w:tc>
          <w:tcPr>
            <w:tcW w:w="1843" w:type="dxa"/>
          </w:tcPr>
          <w:p w:rsidR="0085716E" w:rsidRPr="005A6938" w:rsidRDefault="0085716E" w:rsidP="000646E6">
            <w:r>
              <w:t>&lt;9</w:t>
            </w:r>
            <w:r w:rsidRPr="005A6938">
              <w:t>0</w:t>
            </w:r>
          </w:p>
        </w:tc>
        <w:tc>
          <w:tcPr>
            <w:tcW w:w="1843" w:type="dxa"/>
          </w:tcPr>
          <w:p w:rsidR="0085716E" w:rsidRPr="005A6938" w:rsidRDefault="0085716E" w:rsidP="000646E6">
            <w:r>
              <w:t>&gt;34</w:t>
            </w:r>
          </w:p>
        </w:tc>
        <w:tc>
          <w:tcPr>
            <w:tcW w:w="1844" w:type="dxa"/>
          </w:tcPr>
          <w:p w:rsidR="0085716E" w:rsidRPr="005A6938" w:rsidRDefault="0085716E" w:rsidP="000646E6">
            <w:r>
              <w:t>&lt;75</w:t>
            </w:r>
          </w:p>
        </w:tc>
      </w:tr>
      <w:tr w:rsidR="0085716E" w:rsidTr="003046B7">
        <w:tc>
          <w:tcPr>
            <w:tcW w:w="1843" w:type="dxa"/>
          </w:tcPr>
          <w:p w:rsidR="0085716E" w:rsidRPr="005A6938" w:rsidRDefault="0085716E" w:rsidP="000646E6">
            <w:r w:rsidRPr="005A6938">
              <w:t>2-5 years</w:t>
            </w:r>
          </w:p>
        </w:tc>
        <w:tc>
          <w:tcPr>
            <w:tcW w:w="1843" w:type="dxa"/>
          </w:tcPr>
          <w:p w:rsidR="0085716E" w:rsidRPr="005A6938" w:rsidRDefault="0085716E" w:rsidP="000646E6">
            <w:r w:rsidRPr="005A6938">
              <w:t>&gt;1</w:t>
            </w:r>
            <w:r>
              <w:t>40</w:t>
            </w:r>
          </w:p>
        </w:tc>
        <w:tc>
          <w:tcPr>
            <w:tcW w:w="1843" w:type="dxa"/>
          </w:tcPr>
          <w:p w:rsidR="0085716E" w:rsidRPr="005A6938" w:rsidRDefault="0085716E" w:rsidP="000646E6">
            <w:r>
              <w:t>&lt;60</w:t>
            </w:r>
          </w:p>
        </w:tc>
        <w:tc>
          <w:tcPr>
            <w:tcW w:w="1843" w:type="dxa"/>
          </w:tcPr>
          <w:p w:rsidR="0085716E" w:rsidRPr="005A6938" w:rsidRDefault="0085716E" w:rsidP="000646E6">
            <w:r>
              <w:t>&gt;22</w:t>
            </w:r>
          </w:p>
        </w:tc>
        <w:tc>
          <w:tcPr>
            <w:tcW w:w="1844" w:type="dxa"/>
          </w:tcPr>
          <w:p w:rsidR="0085716E" w:rsidRPr="005A6938" w:rsidRDefault="0085716E" w:rsidP="000646E6">
            <w:r>
              <w:t>&lt;74</w:t>
            </w:r>
          </w:p>
        </w:tc>
      </w:tr>
      <w:tr w:rsidR="0085716E" w:rsidTr="003046B7">
        <w:tc>
          <w:tcPr>
            <w:tcW w:w="1843" w:type="dxa"/>
          </w:tcPr>
          <w:p w:rsidR="0085716E" w:rsidRPr="005A6938" w:rsidRDefault="0085716E" w:rsidP="000646E6">
            <w:r w:rsidRPr="005A6938">
              <w:t>6-12 years</w:t>
            </w:r>
          </w:p>
        </w:tc>
        <w:tc>
          <w:tcPr>
            <w:tcW w:w="1843" w:type="dxa"/>
          </w:tcPr>
          <w:p w:rsidR="0085716E" w:rsidRPr="005A6938" w:rsidRDefault="0085716E" w:rsidP="000646E6">
            <w:r w:rsidRPr="005A6938">
              <w:t>&gt;</w:t>
            </w:r>
            <w:r>
              <w:t>130</w:t>
            </w:r>
          </w:p>
        </w:tc>
        <w:tc>
          <w:tcPr>
            <w:tcW w:w="1843" w:type="dxa"/>
          </w:tcPr>
          <w:p w:rsidR="0085716E" w:rsidRPr="005A6938" w:rsidRDefault="0085716E" w:rsidP="000646E6">
            <w:r>
              <w:t>&lt;60</w:t>
            </w:r>
          </w:p>
        </w:tc>
        <w:tc>
          <w:tcPr>
            <w:tcW w:w="1843" w:type="dxa"/>
          </w:tcPr>
          <w:p w:rsidR="0085716E" w:rsidRPr="005A6938" w:rsidRDefault="0085716E" w:rsidP="000646E6">
            <w:r>
              <w:t>&gt;18</w:t>
            </w:r>
          </w:p>
        </w:tc>
        <w:tc>
          <w:tcPr>
            <w:tcW w:w="1844" w:type="dxa"/>
          </w:tcPr>
          <w:p w:rsidR="0085716E" w:rsidRPr="005A6938" w:rsidRDefault="0085716E" w:rsidP="000646E6">
            <w:r>
              <w:t>&lt;83</w:t>
            </w:r>
          </w:p>
        </w:tc>
      </w:tr>
      <w:tr w:rsidR="0085716E" w:rsidTr="003046B7">
        <w:tc>
          <w:tcPr>
            <w:tcW w:w="1843" w:type="dxa"/>
          </w:tcPr>
          <w:p w:rsidR="0085716E" w:rsidRPr="004710A5" w:rsidRDefault="0085716E" w:rsidP="000646E6">
            <w:r w:rsidRPr="004710A5">
              <w:t>13-18 years</w:t>
            </w:r>
          </w:p>
        </w:tc>
        <w:tc>
          <w:tcPr>
            <w:tcW w:w="1843" w:type="dxa"/>
          </w:tcPr>
          <w:p w:rsidR="0085716E" w:rsidRPr="005A6938" w:rsidRDefault="0085716E" w:rsidP="000646E6">
            <w:r w:rsidRPr="005A6938">
              <w:t>&gt;</w:t>
            </w:r>
            <w:r>
              <w:t>110</w:t>
            </w:r>
          </w:p>
        </w:tc>
        <w:tc>
          <w:tcPr>
            <w:tcW w:w="1843" w:type="dxa"/>
          </w:tcPr>
          <w:p w:rsidR="0085716E" w:rsidRPr="005A6938" w:rsidRDefault="0085716E" w:rsidP="000646E6">
            <w:r>
              <w:t>&lt;60</w:t>
            </w:r>
          </w:p>
        </w:tc>
        <w:tc>
          <w:tcPr>
            <w:tcW w:w="1843" w:type="dxa"/>
          </w:tcPr>
          <w:p w:rsidR="0085716E" w:rsidRPr="005A6938" w:rsidRDefault="0085716E" w:rsidP="000646E6">
            <w:r>
              <w:t>&gt;14</w:t>
            </w:r>
          </w:p>
        </w:tc>
        <w:tc>
          <w:tcPr>
            <w:tcW w:w="1844" w:type="dxa"/>
          </w:tcPr>
          <w:p w:rsidR="0085716E" w:rsidRPr="005A6938" w:rsidRDefault="0085716E" w:rsidP="000646E6">
            <w:r>
              <w:t>&lt;90</w:t>
            </w:r>
          </w:p>
        </w:tc>
      </w:tr>
    </w:tbl>
    <w:p w:rsidR="0085716E" w:rsidRDefault="0085716E" w:rsidP="00946D2D"/>
    <w:p w:rsidR="0085716E" w:rsidRDefault="0085716E" w:rsidP="00946D2D">
      <w:r>
        <w:t>Children’s responses to pain and frightening situations can make this assessment difficult, and experienced clinical input is essential as soon as is practicable.</w:t>
      </w:r>
    </w:p>
    <w:p w:rsidR="0085716E" w:rsidRDefault="0085716E" w:rsidP="00946D2D"/>
    <w:p w:rsidR="0085716E" w:rsidRDefault="0085716E" w:rsidP="00946D2D">
      <w:r>
        <w:t xml:space="preserve">Hypotension is a late, pre-terminal, sign in children. </w:t>
      </w:r>
    </w:p>
    <w:p w:rsidR="0085716E" w:rsidRDefault="0085716E" w:rsidP="00946D2D"/>
    <w:p w:rsidR="0085716E" w:rsidRDefault="0085716E" w:rsidP="00946D2D">
      <w:r>
        <w:t>In a hypotensive child with on-going haemorrhage, or who has not responded to 20 ml/kg of crystalloid solution, O negative blood should be used unless type-specific or cross-matched blood is immediately available.</w:t>
      </w:r>
    </w:p>
    <w:p w:rsidR="0085716E" w:rsidRDefault="0085716E" w:rsidP="00946D2D"/>
    <w:p w:rsidR="0085716E" w:rsidRDefault="0085716E" w:rsidP="00946D2D">
      <w:r>
        <w:t>In a haemodynamically unstable child, the Major Haemorrhage algorithm is part of an overall strategy of care aiming to deliver the child safely to definitive care as quickly as possible.</w:t>
      </w:r>
    </w:p>
    <w:p w:rsidR="0085716E" w:rsidRDefault="0085716E" w:rsidP="00946D2D"/>
    <w:p w:rsidR="0085716E" w:rsidRPr="00946D2D" w:rsidRDefault="0085716E" w:rsidP="00946D2D">
      <w:pPr>
        <w:rPr>
          <w:b/>
        </w:rPr>
      </w:pPr>
      <w:r>
        <w:rPr>
          <w:b/>
        </w:rPr>
        <w:t>5.2.2 Vascular access</w:t>
      </w:r>
    </w:p>
    <w:p w:rsidR="0085716E" w:rsidRDefault="0085716E" w:rsidP="00946D2D">
      <w:r>
        <w:t>Large bore intravenous access should be obtained. This is often difficult in young, shocked children and early use of intraosseous access is recommended. If intravenous access is not obtained within 90 seconds in a bleeding or shocked child, the intraosseous route should be used.</w:t>
      </w:r>
    </w:p>
    <w:p w:rsidR="0085716E" w:rsidRDefault="0085716E" w:rsidP="00946D2D"/>
    <w:p w:rsidR="0085716E" w:rsidRPr="00946D2D" w:rsidRDefault="0085716E" w:rsidP="00946D2D">
      <w:pPr>
        <w:rPr>
          <w:b/>
        </w:rPr>
      </w:pPr>
      <w:r>
        <w:rPr>
          <w:b/>
        </w:rPr>
        <w:t>5.2.3 Hypothermia</w:t>
      </w:r>
    </w:p>
    <w:p w:rsidR="0085716E" w:rsidRDefault="0085716E" w:rsidP="00946D2D">
      <w:r>
        <w:t>Infants and young children have a relatively large surface area:volume ratio and so lose heat quickly. Care must be taken avoid inadvertent hypothermia.</w:t>
      </w:r>
    </w:p>
    <w:p w:rsidR="0085716E" w:rsidRDefault="0085716E" w:rsidP="00946D2D"/>
    <w:p w:rsidR="0085716E" w:rsidRPr="00946D2D" w:rsidRDefault="0085716E" w:rsidP="00946D2D">
      <w:pPr>
        <w:rPr>
          <w:b/>
        </w:rPr>
      </w:pPr>
      <w:r>
        <w:rPr>
          <w:b/>
        </w:rPr>
        <w:t>5.2.4 Hypoglycaemia</w:t>
      </w:r>
    </w:p>
    <w:p w:rsidR="0085716E" w:rsidRDefault="0085716E" w:rsidP="00946D2D">
      <w:r>
        <w:t>Infants and young children are prone to hypoglycaemia and care must be taken to monitor and treat hypoglycaemia.</w:t>
      </w:r>
    </w:p>
    <w:p w:rsidR="0085716E" w:rsidRDefault="0085716E" w:rsidP="00946D2D"/>
    <w:p w:rsidR="0085716E" w:rsidRPr="00946D2D" w:rsidRDefault="0085716E" w:rsidP="00946D2D">
      <w:pPr>
        <w:rPr>
          <w:b/>
        </w:rPr>
      </w:pPr>
      <w:r>
        <w:rPr>
          <w:b/>
        </w:rPr>
        <w:t>5.2.5 Drug doses</w:t>
      </w:r>
    </w:p>
    <w:p w:rsidR="0085716E" w:rsidRDefault="0085716E" w:rsidP="00946D2D">
      <w:r>
        <w:t xml:space="preserve">Drug doses and fluid volumes for resuscitation are calculated based on weight. The widely used formula for estimating weight in children aged 1-10 years is: </w:t>
      </w:r>
    </w:p>
    <w:p w:rsidR="0085716E" w:rsidRDefault="0085716E" w:rsidP="00946D2D"/>
    <w:p w:rsidR="0085716E" w:rsidRDefault="0085716E" w:rsidP="00946D2D">
      <w:r>
        <w:t>Weight (kg) = (Age (yrs) +4) x 2</w:t>
      </w:r>
    </w:p>
    <w:p w:rsidR="0085716E" w:rsidRDefault="0085716E" w:rsidP="00946D2D"/>
    <w:p w:rsidR="0085716E" w:rsidRDefault="0085716E" w:rsidP="00946D2D">
      <w:r>
        <w:t>For term newborns use 3kg and 6kg at 6 months.</w:t>
      </w:r>
    </w:p>
    <w:p w:rsidR="0085716E" w:rsidRDefault="0085716E" w:rsidP="00946D2D"/>
    <w:p w:rsidR="0085716E" w:rsidRDefault="0085716E" w:rsidP="00946D2D">
      <w:r>
        <w:t>The volumes of blood products administered are outlined in the algorithm and are based on replacing blood components in specific quantities and ratios to achieve target values both in terms of laboratory results and clinical condition (vital signs within the parameters identified in the reference tables).</w:t>
      </w:r>
    </w:p>
    <w:p w:rsidR="0085716E" w:rsidRDefault="0085716E" w:rsidP="00946D2D">
      <w:r>
        <w:t>In general, it is usual to give volume in 20ml/kg aliquots. In blunt and penetrating trauma it may be safer to give smaller volumes and assess response as outlined below. Once the targets are reached, then it may be appropriate to withhold further blood product administration but continue monitoring for deterioration.</w:t>
      </w:r>
    </w:p>
    <w:p w:rsidR="0085716E" w:rsidRDefault="0085716E" w:rsidP="00946D2D">
      <w:r>
        <w:t>Although the tables recommend “administering up to” an amount, this is not a hard limit but a way to anticipate the need for on-going blood component therapy and a trigger to continue down the algorithm.</w:t>
      </w:r>
    </w:p>
    <w:p w:rsidR="0085716E" w:rsidRDefault="0085716E" w:rsidP="00946D2D"/>
    <w:p w:rsidR="0085716E" w:rsidRPr="00946D2D" w:rsidRDefault="0085716E" w:rsidP="00946D2D">
      <w:pPr>
        <w:rPr>
          <w:b/>
        </w:rPr>
      </w:pPr>
      <w:r>
        <w:rPr>
          <w:b/>
        </w:rPr>
        <w:t>5.2.6 Trauma</w:t>
      </w:r>
    </w:p>
    <w:p w:rsidR="0085716E" w:rsidRDefault="0085716E" w:rsidP="0042631B">
      <w:pPr>
        <w:numPr>
          <w:ilvl w:val="0"/>
          <w:numId w:val="6"/>
        </w:numPr>
      </w:pPr>
      <w:r>
        <w:t>An ABCDE approach should be followed. The primary survey should include control of obvious haemorrhage as well as cervical spine immobilisation.</w:t>
      </w:r>
    </w:p>
    <w:p w:rsidR="0085716E" w:rsidRDefault="0085716E" w:rsidP="0042631B">
      <w:pPr>
        <w:numPr>
          <w:ilvl w:val="0"/>
          <w:numId w:val="6"/>
        </w:numPr>
      </w:pPr>
      <w:r>
        <w:t>In the paediatric population, trauma more commonly results in contained bleeds that require conservative management rather than aggressive resuscitation and treatment. The trigger for entry into the algorithm should take into account the clinical condition of the child.</w:t>
      </w:r>
    </w:p>
    <w:p w:rsidR="0085716E" w:rsidRDefault="0085716E" w:rsidP="0042631B">
      <w:pPr>
        <w:numPr>
          <w:ilvl w:val="0"/>
          <w:numId w:val="6"/>
        </w:numPr>
      </w:pPr>
      <w:r>
        <w:t>It is not recommended to wait until the loss of a peripheral pulse before administering fluid in a trauma situation. Small volume resuscitation may be appropriate in blunt or penetrating trauma, but not in the head injured patient. Small volume resuscitation involves giving volume in aliquots or 10ml/kg and assessing response and need for further volume. If the patient responds, maintains an adequate heart rate, blood pressure and mental status then no more fluid is given until definitive treatment or there is a deterioration in clinical condition necessitating further fluid resuscitation.</w:t>
      </w:r>
    </w:p>
    <w:p w:rsidR="0085716E" w:rsidRDefault="0085716E" w:rsidP="00946D2D"/>
    <w:p w:rsidR="0085716E" w:rsidRDefault="0085716E" w:rsidP="00B01DAD"/>
    <w:p w:rsidR="0085716E" w:rsidRPr="00946698" w:rsidRDefault="0085716E" w:rsidP="0042631B">
      <w:pPr>
        <w:numPr>
          <w:ilvl w:val="0"/>
          <w:numId w:val="26"/>
        </w:numPr>
        <w:rPr>
          <w:b/>
        </w:rPr>
      </w:pPr>
      <w:r w:rsidRPr="00946698">
        <w:rPr>
          <w:b/>
        </w:rPr>
        <w:t>Cardiac Surgery</w:t>
      </w:r>
    </w:p>
    <w:p w:rsidR="0085716E" w:rsidRDefault="0085716E" w:rsidP="00B01DAD"/>
    <w:p w:rsidR="0085716E" w:rsidRPr="00B9104B" w:rsidRDefault="0085716E" w:rsidP="00B9104B">
      <w:pPr>
        <w:rPr>
          <w:b/>
        </w:rPr>
      </w:pPr>
      <w:r w:rsidRPr="00B9104B">
        <w:rPr>
          <w:b/>
        </w:rPr>
        <w:t>6.1 Who should be included in the team</w:t>
      </w:r>
      <w:r>
        <w:rPr>
          <w:b/>
        </w:rPr>
        <w:t>?</w:t>
      </w:r>
    </w:p>
    <w:p w:rsidR="0085716E" w:rsidRDefault="0085716E" w:rsidP="00B01DAD">
      <w:r>
        <w:t>Consultant Surgeon</w:t>
      </w:r>
    </w:p>
    <w:p w:rsidR="0085716E" w:rsidRDefault="0085716E" w:rsidP="00B01DAD">
      <w:r>
        <w:t>Surgical Registrar</w:t>
      </w:r>
    </w:p>
    <w:p w:rsidR="0085716E" w:rsidRDefault="0085716E" w:rsidP="00B01DAD">
      <w:r>
        <w:t>Theatre Scrub Team</w:t>
      </w:r>
    </w:p>
    <w:p w:rsidR="0085716E" w:rsidRDefault="0085716E" w:rsidP="00B01DAD">
      <w:r>
        <w:t>Consultant Anaesthetist</w:t>
      </w:r>
    </w:p>
    <w:p w:rsidR="0085716E" w:rsidRDefault="0085716E" w:rsidP="00B01DAD">
      <w:r>
        <w:t>Anaesthetic Registrar</w:t>
      </w:r>
    </w:p>
    <w:p w:rsidR="0085716E" w:rsidRDefault="0085716E" w:rsidP="00B01DAD">
      <w:r>
        <w:t>Perfusionist (Bypass)</w:t>
      </w:r>
    </w:p>
    <w:p w:rsidR="0085716E" w:rsidRDefault="0085716E" w:rsidP="00B01DAD">
      <w:r>
        <w:t>Perfusionist (Cell Saver)</w:t>
      </w:r>
    </w:p>
    <w:p w:rsidR="0085716E" w:rsidRDefault="0085716E" w:rsidP="00B01DAD">
      <w:r>
        <w:t>Anaesthetic Nurse/ODP (Rapid Infusor)</w:t>
      </w:r>
    </w:p>
    <w:p w:rsidR="0085716E" w:rsidRDefault="0085716E" w:rsidP="00B01DAD">
      <w:r>
        <w:t>Communicator (ITU nurse or member of above staff if patient in theatre and no ITU nurse available)</w:t>
      </w:r>
    </w:p>
    <w:p w:rsidR="0085716E" w:rsidRDefault="0085716E" w:rsidP="00B01DAD">
      <w:r>
        <w:t>Laboratory Staff notified who should in turn notify the on call Haematologist</w:t>
      </w:r>
    </w:p>
    <w:p w:rsidR="0085716E" w:rsidRDefault="0085716E" w:rsidP="00B01DAD"/>
    <w:p w:rsidR="0085716E" w:rsidRPr="00B9104B" w:rsidRDefault="0085716E" w:rsidP="00B01DAD">
      <w:pPr>
        <w:rPr>
          <w:b/>
        </w:rPr>
      </w:pPr>
      <w:r>
        <w:rPr>
          <w:b/>
        </w:rPr>
        <w:t xml:space="preserve">6.2 </w:t>
      </w:r>
      <w:r w:rsidRPr="00B9104B">
        <w:rPr>
          <w:b/>
        </w:rPr>
        <w:t>Additional Management Aspects</w:t>
      </w:r>
    </w:p>
    <w:p w:rsidR="0085716E" w:rsidRDefault="0085716E" w:rsidP="00B01DAD">
      <w:r>
        <w:t>The availability of cardiopulmonary bypass, rapid infusion technology and near patient testing (TEG, Blood Gases Multiplate etc) in Cardiac units will influence and aid how the patient is managed.  There should be routine use of tranexamic acid and possible use of Prothrombin Complex Concentrate (PCC) or Factor VIIa in appropriate patients. Haematology advice should be sought on the use of PCC and Factor VIIa.</w:t>
      </w:r>
    </w:p>
    <w:p w:rsidR="0085716E" w:rsidRDefault="0085716E" w:rsidP="00B01DAD"/>
    <w:p w:rsidR="0085716E" w:rsidRPr="00B9104B" w:rsidRDefault="0085716E" w:rsidP="00B01DAD">
      <w:pPr>
        <w:rPr>
          <w:b/>
        </w:rPr>
      </w:pPr>
      <w:r w:rsidRPr="00B9104B">
        <w:rPr>
          <w:b/>
        </w:rPr>
        <w:t>6.3 Transfusion goals in actively bleeding patients</w:t>
      </w:r>
    </w:p>
    <w:p w:rsidR="0085716E" w:rsidRDefault="0085716E" w:rsidP="00B01DAD">
      <w:r>
        <w:t>The initial goal is to keep the patient alive until the haemorrhage can be controlled surgically.</w:t>
      </w:r>
    </w:p>
    <w:p w:rsidR="0085716E" w:rsidRDefault="0085716E" w:rsidP="00B01DAD">
      <w:r>
        <w:t>Once the decision is made that the situation is one of “major haemorrhage”, definitive surgical control needs to be facilitated as soon as possible, this is the second goal of therapy.</w:t>
      </w:r>
    </w:p>
    <w:p w:rsidR="0085716E" w:rsidRDefault="0085716E" w:rsidP="00B01DAD">
      <w:r>
        <w:t>This may allow transfer to theatre or it may require surgery to be performed (at least initially) on the ward or ITU.  Because of the risk of tamponade occurring with major cardiac bleeding, rapid surgical exploration is especially important and may necessitate opening patient in ward or ITU.</w:t>
      </w:r>
    </w:p>
    <w:p w:rsidR="0085716E" w:rsidRDefault="0085716E" w:rsidP="00B01DAD">
      <w:r>
        <w:t>The third goal is to restore satisfactory coagulation to the patient.  This will need to commence during the initial treatment (in line with above protocol) but will continue after definitive surgical control has been obtained.</w:t>
      </w:r>
    </w:p>
    <w:p w:rsidR="0085716E" w:rsidRDefault="0085716E" w:rsidP="00B01DAD"/>
    <w:p w:rsidR="0085716E" w:rsidRPr="00B9104B" w:rsidRDefault="0085716E" w:rsidP="00FE652F">
      <w:pPr>
        <w:rPr>
          <w:b/>
        </w:rPr>
      </w:pPr>
    </w:p>
    <w:p w:rsidR="0085716E" w:rsidRPr="00B9104B" w:rsidRDefault="0085716E" w:rsidP="004769D6">
      <w:pPr>
        <w:numPr>
          <w:ilvl w:val="0"/>
          <w:numId w:val="26"/>
        </w:numPr>
        <w:rPr>
          <w:b/>
        </w:rPr>
      </w:pPr>
      <w:r w:rsidRPr="00B9104B">
        <w:rPr>
          <w:b/>
        </w:rPr>
        <w:t>References</w:t>
      </w:r>
    </w:p>
    <w:p w:rsidR="0085716E" w:rsidRDefault="0085716E" w:rsidP="00FE652F"/>
    <w:p w:rsidR="0085716E" w:rsidRPr="00303DD3" w:rsidRDefault="0085716E" w:rsidP="00FE652F">
      <w:pPr>
        <w:numPr>
          <w:ilvl w:val="0"/>
          <w:numId w:val="18"/>
        </w:numPr>
        <w:tabs>
          <w:tab w:val="left" w:pos="540"/>
        </w:tabs>
      </w:pPr>
      <w:r w:rsidRPr="00303DD3">
        <w:t xml:space="preserve">Brohi K, Singh J, Heron M, Coats T. Acute traumatic coagulopathy. </w:t>
      </w:r>
      <w:r w:rsidRPr="00DD225E">
        <w:rPr>
          <w:i/>
        </w:rPr>
        <w:t xml:space="preserve">Journal of Trauma-Injury Infection &amp; Critical Care </w:t>
      </w:r>
      <w:r w:rsidRPr="00DD225E">
        <w:t>2003</w:t>
      </w:r>
      <w:r w:rsidRPr="00303DD3">
        <w:t xml:space="preserve"> Jun;</w:t>
      </w:r>
      <w:r>
        <w:t xml:space="preserve"> 54:1127</w:t>
      </w:r>
      <w:r w:rsidRPr="00303DD3">
        <w:t>-30.</w:t>
      </w:r>
    </w:p>
    <w:p w:rsidR="0085716E" w:rsidRPr="00303DD3" w:rsidRDefault="0085716E" w:rsidP="00FE652F">
      <w:pPr>
        <w:numPr>
          <w:ilvl w:val="0"/>
          <w:numId w:val="18"/>
        </w:numPr>
        <w:tabs>
          <w:tab w:val="left" w:pos="540"/>
        </w:tabs>
      </w:pPr>
      <w:r w:rsidRPr="0085143B">
        <w:t xml:space="preserve">Maegele M, Lefering R, Yucel N, Tjardes T, Rixen D, Paffrath T, et al. </w:t>
      </w:r>
      <w:r w:rsidRPr="00303DD3">
        <w:t>Early coagulopathy in multiple injury: an analysis from the German Trauma Registry on 8724 patients</w:t>
      </w:r>
      <w:r w:rsidRPr="00DD225E">
        <w:rPr>
          <w:i/>
        </w:rPr>
        <w:t>. Injury</w:t>
      </w:r>
      <w:r>
        <w:t xml:space="preserve"> 2007 Mar; 38:298</w:t>
      </w:r>
      <w:r w:rsidRPr="00303DD3">
        <w:t>-304.</w:t>
      </w:r>
    </w:p>
    <w:p w:rsidR="0085716E" w:rsidRDefault="0085716E" w:rsidP="00FE652F">
      <w:pPr>
        <w:numPr>
          <w:ilvl w:val="0"/>
          <w:numId w:val="18"/>
        </w:numPr>
        <w:tabs>
          <w:tab w:val="left" w:pos="540"/>
        </w:tabs>
      </w:pPr>
      <w:r w:rsidRPr="00303DD3">
        <w:t>Jansen JO, Thomas R, Loudon MA, Brooks A. Damage control resuscitation</w:t>
      </w:r>
      <w:r>
        <w:t xml:space="preserve"> for patients with major trauma 1 </w:t>
      </w:r>
      <w:r w:rsidRPr="00003A0E">
        <w:rPr>
          <w:i/>
        </w:rPr>
        <w:t>BMJ</w:t>
      </w:r>
      <w:r w:rsidRPr="00303DD3">
        <w:t xml:space="preserve"> 2009;338:b1778</w:t>
      </w:r>
    </w:p>
    <w:p w:rsidR="0085716E" w:rsidRDefault="0085716E" w:rsidP="00FE652F">
      <w:pPr>
        <w:numPr>
          <w:ilvl w:val="0"/>
          <w:numId w:val="18"/>
        </w:numPr>
      </w:pPr>
      <w:r w:rsidRPr="00946DB5">
        <w:t xml:space="preserve">Effects of tranexamic acid on death, vascular occlusive events, and blood transfusion in trauma patients with significant haemorrhage (CRASH-2): a randomised, placebo-controlled trial. CRASH-2 trial collaborators </w:t>
      </w:r>
      <w:r w:rsidRPr="00003A0E">
        <w:rPr>
          <w:i/>
        </w:rPr>
        <w:t>The Lancet</w:t>
      </w:r>
      <w:r w:rsidRPr="00946DB5">
        <w:t xml:space="preserve"> 2010</w:t>
      </w:r>
      <w:r>
        <w:t>:</w:t>
      </w:r>
      <w:r w:rsidRPr="00946DB5">
        <w:t xml:space="preserve"> </w:t>
      </w:r>
      <w:r>
        <w:t>376;</w:t>
      </w:r>
      <w:r w:rsidRPr="00310CB2">
        <w:t xml:space="preserve"> </w:t>
      </w:r>
      <w:r>
        <w:t>23-32</w:t>
      </w:r>
    </w:p>
    <w:p w:rsidR="0085716E" w:rsidRDefault="0085716E" w:rsidP="00FE652F">
      <w:pPr>
        <w:numPr>
          <w:ilvl w:val="0"/>
          <w:numId w:val="18"/>
        </w:numPr>
        <w:tabs>
          <w:tab w:val="left" w:pos="540"/>
        </w:tabs>
        <w:rPr>
          <w:rFonts w:cs="Arial"/>
        </w:rPr>
      </w:pPr>
      <w:r w:rsidRPr="00C47DEA">
        <w:rPr>
          <w:rFonts w:cs="Arial"/>
          <w:bCs/>
        </w:rPr>
        <w:t xml:space="preserve">Martini WZ et al. Independent contributions of hypothermia and acidosis to coagulopathy in swine. </w:t>
      </w:r>
      <w:r w:rsidRPr="00003A0E">
        <w:rPr>
          <w:rFonts w:cs="Arial"/>
          <w:bCs/>
          <w:i/>
        </w:rPr>
        <w:t>J Trauma</w:t>
      </w:r>
      <w:r w:rsidRPr="00C47DEA">
        <w:rPr>
          <w:rFonts w:cs="Arial"/>
          <w:bCs/>
        </w:rPr>
        <w:t xml:space="preserve"> 2005: 58; 1002-9</w:t>
      </w:r>
    </w:p>
    <w:p w:rsidR="0085716E" w:rsidRPr="0061572B" w:rsidRDefault="0085716E" w:rsidP="00FE652F">
      <w:pPr>
        <w:numPr>
          <w:ilvl w:val="0"/>
          <w:numId w:val="18"/>
        </w:numPr>
        <w:tabs>
          <w:tab w:val="left" w:pos="540"/>
        </w:tabs>
      </w:pPr>
      <w:r w:rsidRPr="00DD225E">
        <w:rPr>
          <w:rFonts w:cs="Arial"/>
        </w:rPr>
        <w:t xml:space="preserve">Scottish Intercollegiate Guidelines Network. Management of acute upper and lower gastrointestinal bleeding (No. 105), September 2008. </w:t>
      </w:r>
    </w:p>
    <w:p w:rsidR="0085716E" w:rsidRPr="0061572B" w:rsidRDefault="0085716E" w:rsidP="0061572B">
      <w:pPr>
        <w:numPr>
          <w:ilvl w:val="0"/>
          <w:numId w:val="18"/>
        </w:numPr>
        <w:tabs>
          <w:tab w:val="left" w:pos="540"/>
        </w:tabs>
        <w:rPr>
          <w:lang w:val="en-US"/>
        </w:rPr>
      </w:pPr>
      <w:r w:rsidRPr="0061572B">
        <w:rPr>
          <w:lang w:val="en-US"/>
        </w:rPr>
        <w:t xml:space="preserve">Cheung FK and Lau JY. Management of </w:t>
      </w:r>
      <w:r>
        <w:rPr>
          <w:lang w:val="en-US"/>
        </w:rPr>
        <w:t>major</w:t>
      </w:r>
      <w:r w:rsidRPr="0061572B">
        <w:rPr>
          <w:lang w:val="en-US"/>
        </w:rPr>
        <w:t xml:space="preserve"> peptic ulcer bleeding. Gastroenterol Clin North Am. 2009 Jun; 38(2):231-43. Review.</w:t>
      </w:r>
    </w:p>
    <w:p w:rsidR="0085716E" w:rsidRPr="00DD6BA3" w:rsidRDefault="0085716E" w:rsidP="0061572B">
      <w:pPr>
        <w:numPr>
          <w:ilvl w:val="0"/>
          <w:numId w:val="18"/>
        </w:numPr>
        <w:tabs>
          <w:tab w:val="left" w:pos="540"/>
        </w:tabs>
      </w:pPr>
      <w:r w:rsidRPr="0077034B">
        <w:rPr>
          <w:rFonts w:cs="Arial"/>
        </w:rPr>
        <w:t xml:space="preserve">Lau </w:t>
      </w:r>
      <w:r w:rsidRPr="0077034B">
        <w:rPr>
          <w:rFonts w:cs="Arial"/>
          <w:i/>
        </w:rPr>
        <w:t>et al</w:t>
      </w:r>
      <w:r w:rsidRPr="0077034B">
        <w:rPr>
          <w:rFonts w:cs="Arial"/>
        </w:rPr>
        <w:t xml:space="preserve">. Omeprazole before endoscopy in patients with gastrointestinal bleeding. </w:t>
      </w:r>
      <w:r w:rsidRPr="0077034B">
        <w:rPr>
          <w:rFonts w:cs="Arial"/>
          <w:i/>
        </w:rPr>
        <w:t>N Engl J Med.</w:t>
      </w:r>
      <w:r w:rsidRPr="0077034B">
        <w:rPr>
          <w:rFonts w:cs="Arial"/>
        </w:rPr>
        <w:t xml:space="preserve"> 2007 Apr 19; 356(16):1631-40.</w:t>
      </w:r>
    </w:p>
    <w:p w:rsidR="0085716E" w:rsidRPr="00BF1A64" w:rsidRDefault="0085716E" w:rsidP="0061572B">
      <w:pPr>
        <w:numPr>
          <w:ilvl w:val="0"/>
          <w:numId w:val="18"/>
        </w:numPr>
        <w:tabs>
          <w:tab w:val="left" w:pos="540"/>
        </w:tabs>
      </w:pPr>
      <w:r>
        <w:rPr>
          <w:rFonts w:cs="Arial"/>
        </w:rPr>
        <w:t xml:space="preserve">Villanueva C et al </w:t>
      </w:r>
      <w:r w:rsidRPr="00BF1A64">
        <w:rPr>
          <w:rFonts w:cs="Arial"/>
          <w:bCs/>
        </w:rPr>
        <w:t>Transfusion Strategies for Acute Upper Gastrointestinal Bleeding</w:t>
      </w:r>
      <w:r>
        <w:rPr>
          <w:rFonts w:cs="Arial"/>
          <w:bCs/>
        </w:rPr>
        <w:t xml:space="preserve"> </w:t>
      </w:r>
      <w:r>
        <w:rPr>
          <w:rStyle w:val="citation"/>
          <w:rFonts w:cs="Arial"/>
        </w:rPr>
        <w:t>N Engl J Med 2013; 368:11-21</w:t>
      </w:r>
    </w:p>
    <w:p w:rsidR="0085716E" w:rsidRPr="00FE652F" w:rsidRDefault="0085716E" w:rsidP="00FE652F">
      <w:pPr>
        <w:numPr>
          <w:ilvl w:val="0"/>
          <w:numId w:val="18"/>
        </w:numPr>
        <w:tabs>
          <w:tab w:val="left" w:pos="540"/>
        </w:tabs>
      </w:pPr>
      <w:r w:rsidRPr="00FE652F">
        <w:t xml:space="preserve">Goldstein </w:t>
      </w:r>
      <w:r w:rsidRPr="00FE652F">
        <w:rPr>
          <w:i/>
          <w:iCs/>
        </w:rPr>
        <w:t xml:space="preserve">et al., </w:t>
      </w:r>
      <w:r w:rsidRPr="00FE652F">
        <w:t xml:space="preserve">International pediatric sepsis consensus conference: Definitions for sepsis and organ dysfunction in pediatrics. Special article in </w:t>
      </w:r>
      <w:r w:rsidRPr="00FE652F">
        <w:rPr>
          <w:i/>
          <w:iCs/>
        </w:rPr>
        <w:t xml:space="preserve">Pediatric Critical Care Medicine </w:t>
      </w:r>
      <w:r w:rsidRPr="00FE652F">
        <w:t>6(1), 2005.</w:t>
      </w:r>
      <w:r w:rsidRPr="00FE652F">
        <w:br/>
        <w:t>DOI: 10.1097/01.PCC.0000149131.72248.E6</w:t>
      </w:r>
      <w:r w:rsidRPr="00FE652F">
        <w:br/>
        <w:t xml:space="preserve">With correction in </w:t>
      </w:r>
      <w:r w:rsidRPr="00FE652F">
        <w:rPr>
          <w:i/>
          <w:iCs/>
        </w:rPr>
        <w:t xml:space="preserve">Pediatric Critical Care Medicine </w:t>
      </w:r>
      <w:r w:rsidRPr="00FE652F">
        <w:t>6(5), 2005</w:t>
      </w:r>
      <w:r w:rsidRPr="00FE652F">
        <w:br/>
        <w:t xml:space="preserve">DOI: 10.1097/01.PCC.0000164344.07588.83 </w:t>
      </w:r>
    </w:p>
    <w:p w:rsidR="0085716E" w:rsidRPr="0077034B" w:rsidRDefault="0085716E" w:rsidP="00FE652F">
      <w:pPr>
        <w:tabs>
          <w:tab w:val="left" w:pos="540"/>
        </w:tabs>
        <w:ind w:left="360"/>
      </w:pPr>
    </w:p>
    <w:p w:rsidR="0085716E" w:rsidRDefault="0085716E" w:rsidP="00BF6343">
      <w:pPr>
        <w:ind w:left="720"/>
      </w:pPr>
    </w:p>
    <w:p w:rsidR="0085716E" w:rsidRDefault="0085716E" w:rsidP="00B9104B"/>
    <w:p w:rsidR="0085716E" w:rsidRDefault="0085716E" w:rsidP="00B528B3">
      <w:pPr>
        <w:rPr>
          <w:b/>
        </w:rPr>
      </w:pPr>
      <w:r>
        <w:rPr>
          <w:b/>
          <w:sz w:val="28"/>
          <w:szCs w:val="28"/>
        </w:rPr>
        <w:br w:type="page"/>
        <w:t xml:space="preserve">15. </w:t>
      </w:r>
      <w:r>
        <w:rPr>
          <w:b/>
        </w:rPr>
        <w:t xml:space="preserve"> </w:t>
      </w:r>
      <w:r>
        <w:rPr>
          <w:b/>
          <w:sz w:val="28"/>
          <w:szCs w:val="28"/>
        </w:rPr>
        <w:t>Appendix 2</w:t>
      </w:r>
    </w:p>
    <w:p w:rsidR="0085716E" w:rsidRDefault="0085716E" w:rsidP="00B01DAD">
      <w:pPr>
        <w:outlineLvl w:val="0"/>
        <w:rPr>
          <w:b/>
        </w:rPr>
      </w:pPr>
      <w:r>
        <w:rPr>
          <w:noProof/>
        </w:rPr>
        <w:pict>
          <v:shape id="Picture 9" o:spid="_x0000_s1039" type="#_x0000_t75" style="position:absolute;margin-left:-54pt;margin-top:28.9pt;width:558pt;height:210.15pt;z-index:251651584;visibility:visible" o:allowoverlap="f">
            <v:imagedata r:id="rId21" o:title=""/>
            <w10:wrap type="square"/>
          </v:shape>
        </w:pict>
      </w:r>
      <w:r>
        <w:rPr>
          <w:b/>
        </w:rPr>
        <w:t>Key stakeholders:</w:t>
      </w:r>
    </w:p>
    <w:p w:rsidR="0085716E" w:rsidRDefault="0085716E" w:rsidP="00B01DAD">
      <w:pPr>
        <w:outlineLvl w:val="0"/>
        <w:rPr>
          <w:b/>
        </w:rPr>
      </w:pPr>
    </w:p>
    <w:p w:rsidR="0085716E" w:rsidRPr="005C1EAC" w:rsidRDefault="0085716E" w:rsidP="00B01DAD">
      <w:pPr>
        <w:rPr>
          <w:sz w:val="18"/>
          <w:szCs w:val="18"/>
        </w:rPr>
      </w:pPr>
      <w:r>
        <w:rPr>
          <w:noProof/>
        </w:rPr>
        <w:pict>
          <v:shape id="Picture 10" o:spid="_x0000_s1040" type="#_x0000_t75" style="position:absolute;margin-left:-54pt;margin-top:226.3pt;width:559.1pt;height:370.6pt;z-index:251652608;visibility:visible">
            <v:imagedata r:id="rId22" o:title=""/>
            <w10:wrap type="square"/>
          </v:shape>
        </w:pict>
      </w:r>
    </w:p>
    <w:p w:rsidR="0085716E" w:rsidRPr="005C1EAC" w:rsidRDefault="0085716E" w:rsidP="00B01DAD">
      <w:pPr>
        <w:outlineLvl w:val="0"/>
        <w:rPr>
          <w:sz w:val="18"/>
          <w:szCs w:val="18"/>
        </w:rPr>
      </w:pPr>
    </w:p>
    <w:p w:rsidR="0085716E" w:rsidRPr="005C1EAC" w:rsidRDefault="0085716E" w:rsidP="00B01DAD">
      <w:pPr>
        <w:outlineLvl w:val="0"/>
        <w:rPr>
          <w:sz w:val="18"/>
          <w:szCs w:val="18"/>
        </w:rPr>
      </w:pPr>
      <w:r w:rsidRPr="005C1EAC">
        <w:rPr>
          <w:sz w:val="18"/>
          <w:szCs w:val="18"/>
        </w:rPr>
        <w:t>2013 review group included:</w:t>
      </w:r>
    </w:p>
    <w:p w:rsidR="0085716E" w:rsidRPr="005C1EAC" w:rsidRDefault="0085716E" w:rsidP="00B01DAD">
      <w:pPr>
        <w:outlineLvl w:val="0"/>
        <w:rPr>
          <w:sz w:val="18"/>
          <w:szCs w:val="18"/>
        </w:rPr>
      </w:pPr>
      <w:r w:rsidRPr="005C1EAC">
        <w:rPr>
          <w:sz w:val="18"/>
          <w:szCs w:val="18"/>
        </w:rPr>
        <w:t>Steve Hood</w:t>
      </w:r>
      <w:r w:rsidRPr="005C1EAC">
        <w:rPr>
          <w:sz w:val="18"/>
          <w:szCs w:val="18"/>
        </w:rPr>
        <w:tab/>
      </w:r>
      <w:r w:rsidRPr="005C1EAC">
        <w:rPr>
          <w:sz w:val="18"/>
          <w:szCs w:val="18"/>
        </w:rPr>
        <w:tab/>
        <w:t>Consultant Gastroenterologist University Hospital Aintree</w:t>
      </w:r>
    </w:p>
    <w:p w:rsidR="0085716E" w:rsidRPr="005C1EAC" w:rsidRDefault="0085716E" w:rsidP="00B01DAD">
      <w:pPr>
        <w:outlineLvl w:val="0"/>
        <w:rPr>
          <w:sz w:val="18"/>
          <w:szCs w:val="18"/>
        </w:rPr>
      </w:pPr>
      <w:r w:rsidRPr="005C1EAC">
        <w:rPr>
          <w:sz w:val="18"/>
          <w:szCs w:val="18"/>
        </w:rPr>
        <w:t>Jayne Addison</w:t>
      </w:r>
      <w:r w:rsidRPr="005C1EAC">
        <w:rPr>
          <w:sz w:val="18"/>
          <w:szCs w:val="18"/>
        </w:rPr>
        <w:tab/>
      </w:r>
      <w:r w:rsidRPr="005C1EAC">
        <w:rPr>
          <w:sz w:val="18"/>
          <w:szCs w:val="18"/>
        </w:rPr>
        <w:tab/>
        <w:t>Patient Blood Management Practitioner NHSBT</w:t>
      </w:r>
    </w:p>
    <w:p w:rsidR="0085716E" w:rsidRPr="005C1EAC" w:rsidRDefault="0085716E" w:rsidP="00B01DAD">
      <w:pPr>
        <w:outlineLvl w:val="0"/>
        <w:rPr>
          <w:sz w:val="18"/>
          <w:szCs w:val="18"/>
        </w:rPr>
      </w:pPr>
      <w:r w:rsidRPr="005C1EAC">
        <w:rPr>
          <w:sz w:val="18"/>
          <w:szCs w:val="18"/>
        </w:rPr>
        <w:t>Louise Polyzois</w:t>
      </w:r>
      <w:r w:rsidRPr="005C1EAC">
        <w:rPr>
          <w:sz w:val="18"/>
          <w:szCs w:val="18"/>
        </w:rPr>
        <w:tab/>
      </w:r>
      <w:r>
        <w:rPr>
          <w:sz w:val="18"/>
          <w:szCs w:val="18"/>
        </w:rPr>
        <w:tab/>
      </w:r>
      <w:r w:rsidRPr="005C1EAC">
        <w:rPr>
          <w:sz w:val="18"/>
          <w:szCs w:val="18"/>
        </w:rPr>
        <w:t>Transfusion Practitioner  Central Manchester University Hospitals NHS</w:t>
      </w:r>
      <w:r w:rsidRPr="005C1EAC">
        <w:rPr>
          <w:sz w:val="18"/>
          <w:szCs w:val="18"/>
        </w:rPr>
        <w:tab/>
      </w:r>
      <w:r w:rsidRPr="005C1EAC">
        <w:rPr>
          <w:sz w:val="18"/>
          <w:szCs w:val="18"/>
        </w:rPr>
        <w:tab/>
      </w:r>
      <w:r w:rsidRPr="005C1EAC">
        <w:rPr>
          <w:sz w:val="18"/>
          <w:szCs w:val="18"/>
        </w:rPr>
        <w:tab/>
      </w:r>
      <w:r w:rsidRPr="005C1EAC">
        <w:rPr>
          <w:sz w:val="18"/>
          <w:szCs w:val="18"/>
        </w:rPr>
        <w:tab/>
      </w:r>
      <w:r>
        <w:rPr>
          <w:sz w:val="18"/>
          <w:szCs w:val="18"/>
        </w:rPr>
        <w:tab/>
      </w:r>
      <w:r w:rsidRPr="005C1EAC">
        <w:rPr>
          <w:sz w:val="18"/>
          <w:szCs w:val="18"/>
        </w:rPr>
        <w:t>Foundation Trust</w:t>
      </w:r>
    </w:p>
    <w:p w:rsidR="0085716E" w:rsidRPr="005C1EAC" w:rsidRDefault="0085716E" w:rsidP="00B01DAD">
      <w:pPr>
        <w:outlineLvl w:val="0"/>
        <w:rPr>
          <w:sz w:val="18"/>
          <w:szCs w:val="18"/>
        </w:rPr>
      </w:pPr>
      <w:r w:rsidRPr="005C1EAC">
        <w:rPr>
          <w:sz w:val="18"/>
          <w:szCs w:val="18"/>
        </w:rPr>
        <w:t>Lynne Mannion</w:t>
      </w:r>
      <w:r w:rsidRPr="005C1EAC">
        <w:rPr>
          <w:sz w:val="18"/>
          <w:szCs w:val="18"/>
        </w:rPr>
        <w:tab/>
      </w:r>
      <w:r>
        <w:rPr>
          <w:sz w:val="18"/>
          <w:szCs w:val="18"/>
        </w:rPr>
        <w:tab/>
      </w:r>
      <w:r w:rsidRPr="005C1EAC">
        <w:rPr>
          <w:sz w:val="18"/>
          <w:szCs w:val="18"/>
        </w:rPr>
        <w:t>Transfusion Practitioner East Lancs</w:t>
      </w:r>
    </w:p>
    <w:p w:rsidR="0085716E" w:rsidRPr="005C1EAC" w:rsidRDefault="0085716E" w:rsidP="00B01DAD">
      <w:pPr>
        <w:outlineLvl w:val="0"/>
        <w:rPr>
          <w:sz w:val="18"/>
          <w:szCs w:val="18"/>
        </w:rPr>
      </w:pPr>
      <w:r w:rsidRPr="005C1EAC">
        <w:rPr>
          <w:sz w:val="18"/>
          <w:szCs w:val="18"/>
        </w:rPr>
        <w:t>Shuba Mallaiah</w:t>
      </w:r>
      <w:r w:rsidRPr="005C1EAC">
        <w:rPr>
          <w:sz w:val="18"/>
          <w:szCs w:val="18"/>
        </w:rPr>
        <w:tab/>
      </w:r>
      <w:r>
        <w:rPr>
          <w:sz w:val="18"/>
          <w:szCs w:val="18"/>
        </w:rPr>
        <w:tab/>
      </w:r>
      <w:r w:rsidRPr="005C1EAC">
        <w:rPr>
          <w:sz w:val="18"/>
          <w:szCs w:val="18"/>
        </w:rPr>
        <w:t>Consultant Anaesthetist Liverpool Women’s</w:t>
      </w:r>
    </w:p>
    <w:p w:rsidR="0085716E" w:rsidRPr="005C1EAC" w:rsidRDefault="0085716E" w:rsidP="00B01DAD">
      <w:pPr>
        <w:outlineLvl w:val="0"/>
        <w:rPr>
          <w:sz w:val="18"/>
          <w:szCs w:val="18"/>
        </w:rPr>
      </w:pPr>
      <w:r w:rsidRPr="005C1EAC">
        <w:rPr>
          <w:sz w:val="18"/>
          <w:szCs w:val="18"/>
        </w:rPr>
        <w:t>David Raw</w:t>
      </w:r>
      <w:r w:rsidRPr="005C1EAC">
        <w:rPr>
          <w:sz w:val="18"/>
          <w:szCs w:val="18"/>
        </w:rPr>
        <w:tab/>
      </w:r>
      <w:r w:rsidRPr="005C1EAC">
        <w:rPr>
          <w:sz w:val="18"/>
          <w:szCs w:val="18"/>
        </w:rPr>
        <w:tab/>
        <w:t>Consultant Anaesthetist University Hospital Aintree</w:t>
      </w:r>
    </w:p>
    <w:p w:rsidR="0085716E" w:rsidRPr="005C1EAC" w:rsidRDefault="0085716E" w:rsidP="00B01DAD">
      <w:pPr>
        <w:outlineLvl w:val="0"/>
        <w:rPr>
          <w:sz w:val="18"/>
          <w:szCs w:val="18"/>
        </w:rPr>
      </w:pPr>
      <w:r w:rsidRPr="005C1EAC">
        <w:rPr>
          <w:sz w:val="18"/>
          <w:szCs w:val="18"/>
        </w:rPr>
        <w:t>Sharran Grey</w:t>
      </w:r>
      <w:r w:rsidRPr="005C1EAC">
        <w:rPr>
          <w:sz w:val="18"/>
          <w:szCs w:val="18"/>
        </w:rPr>
        <w:tab/>
      </w:r>
      <w:r w:rsidRPr="005C1EAC">
        <w:rPr>
          <w:sz w:val="18"/>
          <w:szCs w:val="18"/>
        </w:rPr>
        <w:tab/>
        <w:t>Blood Transfusion Clinical Lead Bolton NHS Foundation Trust</w:t>
      </w:r>
    </w:p>
    <w:p w:rsidR="0085716E" w:rsidRPr="005C1EAC" w:rsidRDefault="0085716E" w:rsidP="00B01DAD">
      <w:pPr>
        <w:outlineLvl w:val="0"/>
        <w:rPr>
          <w:sz w:val="18"/>
          <w:szCs w:val="18"/>
        </w:rPr>
      </w:pPr>
      <w:r w:rsidRPr="005C1EAC">
        <w:rPr>
          <w:sz w:val="18"/>
          <w:szCs w:val="18"/>
        </w:rPr>
        <w:t>Tushar Mahambrey</w:t>
      </w:r>
      <w:r w:rsidRPr="005C1EAC">
        <w:rPr>
          <w:sz w:val="18"/>
          <w:szCs w:val="18"/>
        </w:rPr>
        <w:tab/>
        <w:t>Consultant Intensivist St Helens</w:t>
      </w:r>
    </w:p>
    <w:p w:rsidR="0085716E" w:rsidRPr="005C1EAC" w:rsidRDefault="0085716E" w:rsidP="00B01DAD">
      <w:pPr>
        <w:outlineLvl w:val="0"/>
        <w:rPr>
          <w:sz w:val="18"/>
          <w:szCs w:val="18"/>
        </w:rPr>
      </w:pPr>
      <w:r w:rsidRPr="005C1EAC">
        <w:rPr>
          <w:sz w:val="18"/>
          <w:szCs w:val="18"/>
        </w:rPr>
        <w:t>Mike Desmond</w:t>
      </w:r>
      <w:r w:rsidRPr="005C1EAC">
        <w:rPr>
          <w:sz w:val="18"/>
          <w:szCs w:val="18"/>
        </w:rPr>
        <w:tab/>
      </w:r>
      <w:r w:rsidRPr="005C1EAC">
        <w:rPr>
          <w:sz w:val="18"/>
          <w:szCs w:val="18"/>
        </w:rPr>
        <w:tab/>
        <w:t>Consultant Anaesthetist Liverpool Heart and Chest</w:t>
      </w:r>
    </w:p>
    <w:p w:rsidR="0085716E" w:rsidRPr="005C1EAC" w:rsidRDefault="0085716E" w:rsidP="007551D4">
      <w:pPr>
        <w:ind w:left="2160" w:hanging="2160"/>
        <w:outlineLvl w:val="0"/>
        <w:rPr>
          <w:sz w:val="18"/>
          <w:szCs w:val="18"/>
        </w:rPr>
      </w:pPr>
      <w:r w:rsidRPr="005C1EAC">
        <w:rPr>
          <w:sz w:val="18"/>
          <w:szCs w:val="18"/>
        </w:rPr>
        <w:t>Sarah Haynes</w:t>
      </w:r>
      <w:r w:rsidRPr="005C1EAC">
        <w:rPr>
          <w:sz w:val="18"/>
          <w:szCs w:val="18"/>
        </w:rPr>
        <w:tab/>
        <w:t xml:space="preserve">Autologous Transfusion Coordinator University Hospital South Manchester </w:t>
      </w:r>
    </w:p>
    <w:p w:rsidR="0085716E" w:rsidRPr="005C1EAC" w:rsidRDefault="0085716E" w:rsidP="00B01DAD">
      <w:pPr>
        <w:outlineLvl w:val="0"/>
        <w:rPr>
          <w:sz w:val="18"/>
          <w:szCs w:val="18"/>
        </w:rPr>
      </w:pPr>
      <w:r w:rsidRPr="005C1EAC">
        <w:rPr>
          <w:sz w:val="18"/>
          <w:szCs w:val="18"/>
        </w:rPr>
        <w:t>Kate Pendry</w:t>
      </w:r>
      <w:r w:rsidRPr="005C1EAC">
        <w:rPr>
          <w:sz w:val="18"/>
          <w:szCs w:val="18"/>
        </w:rPr>
        <w:tab/>
      </w:r>
      <w:r w:rsidRPr="005C1EAC">
        <w:rPr>
          <w:sz w:val="18"/>
          <w:szCs w:val="18"/>
        </w:rPr>
        <w:tab/>
        <w:t>Consultant haematologist NHSBT and Central Manchester Hospitals</w:t>
      </w:r>
    </w:p>
    <w:p w:rsidR="0085716E" w:rsidRDefault="0085716E" w:rsidP="00B01DAD">
      <w:pPr>
        <w:outlineLvl w:val="0"/>
        <w:rPr>
          <w:b/>
        </w:rPr>
      </w:pPr>
    </w:p>
    <w:p w:rsidR="0085716E" w:rsidRDefault="0085716E" w:rsidP="00B01DAD">
      <w:pPr>
        <w:outlineLvl w:val="0"/>
        <w:rPr>
          <w:b/>
        </w:rPr>
      </w:pPr>
    </w:p>
    <w:p w:rsidR="0085716E" w:rsidRDefault="0085716E" w:rsidP="00B01DAD">
      <w:pPr>
        <w:outlineLvl w:val="0"/>
        <w:rPr>
          <w:b/>
        </w:rPr>
      </w:pPr>
    </w:p>
    <w:p w:rsidR="0085716E" w:rsidRDefault="0085716E" w:rsidP="00B01DAD">
      <w:pPr>
        <w:outlineLvl w:val="0"/>
        <w:rPr>
          <w:b/>
        </w:rPr>
      </w:pPr>
      <w:r>
        <w:rPr>
          <w:b/>
        </w:rPr>
        <w:t>16. Appendix 3:</w:t>
      </w:r>
    </w:p>
    <w:p w:rsidR="0085716E" w:rsidRDefault="0085716E" w:rsidP="00B01DAD">
      <w:pPr>
        <w:outlineLvl w:val="0"/>
        <w:rPr>
          <w:b/>
        </w:rPr>
      </w:pPr>
      <w:r>
        <w:rPr>
          <w:b/>
        </w:rPr>
        <w:t>North West Regional Transfer of Blood Policy</w:t>
      </w:r>
    </w:p>
    <w:p w:rsidR="0085716E" w:rsidRDefault="0085716E" w:rsidP="00B01DAD">
      <w:pPr>
        <w:rPr>
          <w:b/>
        </w:rPr>
      </w:pPr>
    </w:p>
    <w:p w:rsidR="0085716E" w:rsidRPr="00A21C81" w:rsidRDefault="0085716E" w:rsidP="00B01DAD">
      <w:pPr>
        <w:rPr>
          <w:b/>
        </w:rPr>
      </w:pPr>
      <w:r>
        <w:object w:dxaOrig="1534" w:dyaOrig="995">
          <v:shape id="_x0000_i1034" type="#_x0000_t75" style="width:73.5pt;height:49.5pt" o:ole="">
            <v:imagedata r:id="rId23" o:title=""/>
          </v:shape>
          <o:OLEObject Type="Embed" ProgID="AcroExch.Document.7" ShapeID="_x0000_i1034" DrawAspect="Icon" ObjectID="_1476702989" r:id="rId24"/>
        </w:object>
      </w:r>
    </w:p>
    <w:p w:rsidR="0085716E" w:rsidRPr="00A21C81" w:rsidRDefault="0085716E" w:rsidP="00B01DAD">
      <w:pPr>
        <w:rPr>
          <w:b/>
        </w:rPr>
      </w:pPr>
    </w:p>
    <w:p w:rsidR="0085716E" w:rsidRDefault="0085716E" w:rsidP="00B01DAD"/>
    <w:p w:rsidR="0085716E" w:rsidRPr="009D3B2E" w:rsidRDefault="0085716E" w:rsidP="00B01DAD"/>
    <w:p w:rsidR="0085716E" w:rsidRPr="00A876C4" w:rsidRDefault="0085716E" w:rsidP="00B01DAD"/>
    <w:p w:rsidR="0085716E" w:rsidRDefault="0085716E" w:rsidP="00B01DAD"/>
    <w:sectPr w:rsidR="0085716E" w:rsidSect="0085143B">
      <w:pgSz w:w="11906" w:h="16838"/>
      <w:pgMar w:top="1077" w:right="1287" w:bottom="539" w:left="162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16E" w:rsidRDefault="0085716E">
      <w:r>
        <w:separator/>
      </w:r>
    </w:p>
  </w:endnote>
  <w:endnote w:type="continuationSeparator" w:id="0">
    <w:p w:rsidR="0085716E" w:rsidRDefault="008571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16E" w:rsidRPr="001C6C0A" w:rsidRDefault="0085716E" w:rsidP="0042681D">
    <w:pPr>
      <w:tabs>
        <w:tab w:val="left" w:pos="5745"/>
      </w:tabs>
      <w:rPr>
        <w:rFonts w:ascii="Times New Roman" w:hAnsi="Times New Roman"/>
        <w:sz w:val="20"/>
        <w:szCs w:val="20"/>
        <w:vertAlign w:val="superscrip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16E" w:rsidRPr="00861258" w:rsidRDefault="0085716E" w:rsidP="009D3EEC">
    <w:pPr>
      <w:pStyle w:val="Header"/>
      <w:rPr>
        <w:i/>
        <w:color w:val="000000"/>
        <w:sz w:val="20"/>
        <w:szCs w:val="20"/>
      </w:rPr>
    </w:pPr>
    <w:r w:rsidRPr="006C60B9">
      <w:rPr>
        <w:i/>
        <w:color w:val="999999"/>
        <w:sz w:val="20"/>
        <w:szCs w:val="20"/>
      </w:rPr>
      <w:tab/>
    </w:r>
    <w:r w:rsidRPr="00861258">
      <w:rPr>
        <w:i/>
        <w:color w:val="000000"/>
        <w:sz w:val="20"/>
        <w:szCs w:val="20"/>
      </w:rPr>
      <w:t xml:space="preserve"> </w:t>
    </w:r>
    <w:r w:rsidRPr="00861258">
      <w:rPr>
        <w:rStyle w:val="PageNumber"/>
        <w:i/>
        <w:color w:val="000000"/>
        <w:sz w:val="20"/>
        <w:szCs w:val="20"/>
      </w:rPr>
      <w:fldChar w:fldCharType="begin"/>
    </w:r>
    <w:r w:rsidRPr="00861258">
      <w:rPr>
        <w:rStyle w:val="PageNumber"/>
        <w:i/>
        <w:color w:val="000000"/>
        <w:sz w:val="20"/>
        <w:szCs w:val="20"/>
      </w:rPr>
      <w:instrText xml:space="preserve"> PAGE </w:instrText>
    </w:r>
    <w:r w:rsidRPr="00861258">
      <w:rPr>
        <w:rStyle w:val="PageNumber"/>
        <w:i/>
        <w:color w:val="000000"/>
        <w:sz w:val="20"/>
        <w:szCs w:val="20"/>
      </w:rPr>
      <w:fldChar w:fldCharType="separate"/>
    </w:r>
    <w:r>
      <w:rPr>
        <w:rStyle w:val="PageNumber"/>
        <w:i/>
        <w:noProof/>
        <w:color w:val="000000"/>
        <w:sz w:val="20"/>
        <w:szCs w:val="20"/>
      </w:rPr>
      <w:t>29</w:t>
    </w:r>
    <w:r w:rsidRPr="00861258">
      <w:rPr>
        <w:rStyle w:val="PageNumber"/>
        <w:i/>
        <w:color w:val="000000"/>
        <w:sz w:val="20"/>
        <w:szCs w:val="20"/>
      </w:rPr>
      <w:fldChar w:fldCharType="end"/>
    </w:r>
    <w:r w:rsidRPr="00861258">
      <w:rPr>
        <w:i/>
        <w:color w:val="000000"/>
        <w:sz w:val="20"/>
        <w:szCs w:val="20"/>
      </w:rPr>
      <w:t xml:space="preserve"> </w:t>
    </w:r>
    <w:r w:rsidRPr="00861258">
      <w:rPr>
        <w:i/>
        <w:color w:val="000000"/>
        <w:sz w:val="20"/>
        <w:szCs w:val="20"/>
      </w:rPr>
      <w:tab/>
      <w:t xml:space="preserve"> </w:t>
    </w:r>
  </w:p>
  <w:p w:rsidR="0085716E" w:rsidRDefault="008571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16E" w:rsidRDefault="0085716E">
      <w:r>
        <w:separator/>
      </w:r>
    </w:p>
  </w:footnote>
  <w:footnote w:type="continuationSeparator" w:id="0">
    <w:p w:rsidR="0085716E" w:rsidRDefault="008571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16E" w:rsidRDefault="0085716E">
    <w:pPr>
      <w:pStyle w:val="Header"/>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16E" w:rsidRPr="006C60B9" w:rsidRDefault="0085716E">
    <w:pPr>
      <w:pStyle w:val="Header"/>
      <w:rPr>
        <w:i/>
        <w:color w:val="999999"/>
        <w:sz w:val="20"/>
        <w:szCs w:val="20"/>
      </w:rPr>
    </w:pPr>
    <w:r w:rsidRPr="006C60B9">
      <w:rPr>
        <w:i/>
        <w:color w:val="999999"/>
        <w:sz w:val="20"/>
        <w:szCs w:val="20"/>
      </w:rPr>
      <w:t xml:space="preserve">Toolkit for Management of </w:t>
    </w:r>
    <w:r>
      <w:rPr>
        <w:i/>
        <w:color w:val="999999"/>
        <w:sz w:val="20"/>
        <w:szCs w:val="20"/>
      </w:rPr>
      <w:t>Major</w:t>
    </w:r>
    <w:r w:rsidRPr="006C60B9">
      <w:rPr>
        <w:i/>
        <w:color w:val="999999"/>
        <w:sz w:val="20"/>
        <w:szCs w:val="20"/>
      </w:rPr>
      <w:t xml:space="preserve"> Haemorrhage </w:t>
    </w:r>
    <w:r>
      <w:rPr>
        <w:i/>
        <w:color w:val="999999"/>
        <w:sz w:val="20"/>
        <w:szCs w:val="20"/>
      </w:rPr>
      <w:t>version 3  Oct 2013  for review January 2015</w:t>
    </w:r>
    <w:r w:rsidRPr="006C60B9">
      <w:rPr>
        <w:i/>
        <w:color w:val="999999"/>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A8C"/>
    <w:multiLevelType w:val="hybridMultilevel"/>
    <w:tmpl w:val="8AD6DABE"/>
    <w:lvl w:ilvl="0" w:tplc="26DAD0BC">
      <w:start w:val="1"/>
      <w:numFmt w:val="bullet"/>
      <w:lvlText w:val="•"/>
      <w:lvlJc w:val="left"/>
      <w:pPr>
        <w:tabs>
          <w:tab w:val="num" w:pos="720"/>
        </w:tabs>
        <w:ind w:left="720" w:hanging="360"/>
      </w:pPr>
      <w:rPr>
        <w:rFonts w:ascii="Times New Roman" w:hAnsi="Times New Roman" w:hint="default"/>
      </w:rPr>
    </w:lvl>
    <w:lvl w:ilvl="1" w:tplc="76EA67FE">
      <w:start w:val="1"/>
      <w:numFmt w:val="bullet"/>
      <w:lvlText w:val="•"/>
      <w:lvlJc w:val="left"/>
      <w:pPr>
        <w:tabs>
          <w:tab w:val="num" w:pos="1440"/>
        </w:tabs>
        <w:ind w:left="1440" w:hanging="360"/>
      </w:pPr>
      <w:rPr>
        <w:rFonts w:ascii="Times New Roman" w:hAnsi="Times New Roman" w:hint="default"/>
      </w:rPr>
    </w:lvl>
    <w:lvl w:ilvl="2" w:tplc="F678E136">
      <w:start w:val="1"/>
      <w:numFmt w:val="bullet"/>
      <w:lvlText w:val="•"/>
      <w:lvlJc w:val="left"/>
      <w:pPr>
        <w:tabs>
          <w:tab w:val="num" w:pos="2160"/>
        </w:tabs>
        <w:ind w:left="2160" w:hanging="360"/>
      </w:pPr>
      <w:rPr>
        <w:rFonts w:ascii="Times New Roman" w:hAnsi="Times New Roman" w:hint="default"/>
      </w:rPr>
    </w:lvl>
    <w:lvl w:ilvl="3" w:tplc="53B6EB04" w:tentative="1">
      <w:start w:val="1"/>
      <w:numFmt w:val="bullet"/>
      <w:lvlText w:val="•"/>
      <w:lvlJc w:val="left"/>
      <w:pPr>
        <w:tabs>
          <w:tab w:val="num" w:pos="2880"/>
        </w:tabs>
        <w:ind w:left="2880" w:hanging="360"/>
      </w:pPr>
      <w:rPr>
        <w:rFonts w:ascii="Times New Roman" w:hAnsi="Times New Roman" w:hint="default"/>
      </w:rPr>
    </w:lvl>
    <w:lvl w:ilvl="4" w:tplc="A372D5DA" w:tentative="1">
      <w:start w:val="1"/>
      <w:numFmt w:val="bullet"/>
      <w:lvlText w:val="•"/>
      <w:lvlJc w:val="left"/>
      <w:pPr>
        <w:tabs>
          <w:tab w:val="num" w:pos="3600"/>
        </w:tabs>
        <w:ind w:left="3600" w:hanging="360"/>
      </w:pPr>
      <w:rPr>
        <w:rFonts w:ascii="Times New Roman" w:hAnsi="Times New Roman" w:hint="default"/>
      </w:rPr>
    </w:lvl>
    <w:lvl w:ilvl="5" w:tplc="90AEF21A" w:tentative="1">
      <w:start w:val="1"/>
      <w:numFmt w:val="bullet"/>
      <w:lvlText w:val="•"/>
      <w:lvlJc w:val="left"/>
      <w:pPr>
        <w:tabs>
          <w:tab w:val="num" w:pos="4320"/>
        </w:tabs>
        <w:ind w:left="4320" w:hanging="360"/>
      </w:pPr>
      <w:rPr>
        <w:rFonts w:ascii="Times New Roman" w:hAnsi="Times New Roman" w:hint="default"/>
      </w:rPr>
    </w:lvl>
    <w:lvl w:ilvl="6" w:tplc="91EE0206" w:tentative="1">
      <w:start w:val="1"/>
      <w:numFmt w:val="bullet"/>
      <w:lvlText w:val="•"/>
      <w:lvlJc w:val="left"/>
      <w:pPr>
        <w:tabs>
          <w:tab w:val="num" w:pos="5040"/>
        </w:tabs>
        <w:ind w:left="5040" w:hanging="360"/>
      </w:pPr>
      <w:rPr>
        <w:rFonts w:ascii="Times New Roman" w:hAnsi="Times New Roman" w:hint="default"/>
      </w:rPr>
    </w:lvl>
    <w:lvl w:ilvl="7" w:tplc="E64A41D2" w:tentative="1">
      <w:start w:val="1"/>
      <w:numFmt w:val="bullet"/>
      <w:lvlText w:val="•"/>
      <w:lvlJc w:val="left"/>
      <w:pPr>
        <w:tabs>
          <w:tab w:val="num" w:pos="5760"/>
        </w:tabs>
        <w:ind w:left="5760" w:hanging="360"/>
      </w:pPr>
      <w:rPr>
        <w:rFonts w:ascii="Times New Roman" w:hAnsi="Times New Roman" w:hint="default"/>
      </w:rPr>
    </w:lvl>
    <w:lvl w:ilvl="8" w:tplc="8D5EDD4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A646FD"/>
    <w:multiLevelType w:val="hybridMultilevel"/>
    <w:tmpl w:val="33BE4FF6"/>
    <w:lvl w:ilvl="0" w:tplc="F5149DEC">
      <w:start w:val="5"/>
      <w:numFmt w:val="decimal"/>
      <w:lvlText w:val="%1."/>
      <w:lvlJc w:val="left"/>
      <w:pPr>
        <w:tabs>
          <w:tab w:val="num" w:pos="720"/>
        </w:tabs>
        <w:ind w:left="720" w:hanging="360"/>
      </w:pPr>
      <w:rPr>
        <w:rFonts w:cs="Times New Roman" w:hint="default"/>
        <w:b/>
        <w:i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F402DDF"/>
    <w:multiLevelType w:val="hybridMultilevel"/>
    <w:tmpl w:val="ED7C679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49712A4"/>
    <w:multiLevelType w:val="multilevel"/>
    <w:tmpl w:val="7D186502"/>
    <w:lvl w:ilvl="0">
      <w:start w:val="1"/>
      <w:numFmt w:val="upperRoman"/>
      <w:lvlText w:val="%1."/>
      <w:lvlJc w:val="left"/>
      <w:pPr>
        <w:tabs>
          <w:tab w:val="num" w:pos="360"/>
        </w:tabs>
        <w:ind w:left="360" w:hanging="360"/>
      </w:pPr>
      <w:rPr>
        <w:rFonts w:cs="Times New Roman" w:hint="default"/>
        <w:sz w:val="24"/>
        <w:szCs w:val="24"/>
      </w:rPr>
    </w:lvl>
    <w:lvl w:ilvl="1">
      <w:start w:val="1"/>
      <w:numFmt w:val="decimal"/>
      <w:isLgl/>
      <w:lvlText w:val="%1.%2"/>
      <w:lvlJc w:val="left"/>
      <w:pPr>
        <w:ind w:left="390" w:hanging="39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
    <w:nsid w:val="1BEC64E0"/>
    <w:multiLevelType w:val="hybridMultilevel"/>
    <w:tmpl w:val="80163062"/>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29E20E1E"/>
    <w:multiLevelType w:val="hybridMultilevel"/>
    <w:tmpl w:val="A0BE44B2"/>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2D403D35"/>
    <w:multiLevelType w:val="hybridMultilevel"/>
    <w:tmpl w:val="24A08E46"/>
    <w:lvl w:ilvl="0" w:tplc="DD34C2D8">
      <w:start w:val="2"/>
      <w:numFmt w:val="decimal"/>
      <w:lvlText w:val="%1."/>
      <w:lvlJc w:val="left"/>
      <w:pPr>
        <w:tabs>
          <w:tab w:val="num" w:pos="720"/>
        </w:tabs>
        <w:ind w:left="720" w:hanging="360"/>
      </w:pPr>
      <w:rPr>
        <w:rFonts w:cs="Times New Roman"/>
        <w:sz w:val="24"/>
        <w:szCs w:val="24"/>
      </w:rPr>
    </w:lvl>
    <w:lvl w:ilvl="1" w:tplc="A56EF486">
      <w:start w:val="1"/>
      <w:numFmt w:val="upperRoman"/>
      <w:lvlText w:val="%2."/>
      <w:lvlJc w:val="left"/>
      <w:pPr>
        <w:tabs>
          <w:tab w:val="num" w:pos="1440"/>
        </w:tabs>
        <w:ind w:left="1440" w:hanging="360"/>
      </w:pPr>
      <w:rPr>
        <w:rFonts w:cs="Times New Roman" w:hint="default"/>
        <w:b w:val="0"/>
        <w:i w:val="0"/>
        <w:color w:val="auto"/>
        <w:sz w:val="20"/>
      </w:rPr>
    </w:lvl>
    <w:lvl w:ilvl="2" w:tplc="A80AFAB6">
      <w:start w:val="1"/>
      <w:numFmt w:val="lowerLetter"/>
      <w:lvlText w:val="%3."/>
      <w:lvlJc w:val="left"/>
      <w:pPr>
        <w:tabs>
          <w:tab w:val="num" w:pos="2160"/>
        </w:tabs>
        <w:ind w:left="2160" w:hanging="360"/>
      </w:pPr>
      <w:rPr>
        <w:rFonts w:cs="Times New Roman"/>
      </w:rPr>
    </w:lvl>
    <w:lvl w:ilvl="3" w:tplc="C1F42FC2" w:tentative="1">
      <w:start w:val="1"/>
      <w:numFmt w:val="decimal"/>
      <w:lvlText w:val="%4."/>
      <w:lvlJc w:val="left"/>
      <w:pPr>
        <w:tabs>
          <w:tab w:val="num" w:pos="2880"/>
        </w:tabs>
        <w:ind w:left="2880" w:hanging="360"/>
      </w:pPr>
      <w:rPr>
        <w:rFonts w:cs="Times New Roman"/>
      </w:rPr>
    </w:lvl>
    <w:lvl w:ilvl="4" w:tplc="82962808" w:tentative="1">
      <w:start w:val="1"/>
      <w:numFmt w:val="decimal"/>
      <w:lvlText w:val="%5."/>
      <w:lvlJc w:val="left"/>
      <w:pPr>
        <w:tabs>
          <w:tab w:val="num" w:pos="3600"/>
        </w:tabs>
        <w:ind w:left="3600" w:hanging="360"/>
      </w:pPr>
      <w:rPr>
        <w:rFonts w:cs="Times New Roman"/>
      </w:rPr>
    </w:lvl>
    <w:lvl w:ilvl="5" w:tplc="3ABEE5B6" w:tentative="1">
      <w:start w:val="1"/>
      <w:numFmt w:val="decimal"/>
      <w:lvlText w:val="%6."/>
      <w:lvlJc w:val="left"/>
      <w:pPr>
        <w:tabs>
          <w:tab w:val="num" w:pos="4320"/>
        </w:tabs>
        <w:ind w:left="4320" w:hanging="360"/>
      </w:pPr>
      <w:rPr>
        <w:rFonts w:cs="Times New Roman"/>
      </w:rPr>
    </w:lvl>
    <w:lvl w:ilvl="6" w:tplc="0AE40FF0" w:tentative="1">
      <w:start w:val="1"/>
      <w:numFmt w:val="decimal"/>
      <w:lvlText w:val="%7."/>
      <w:lvlJc w:val="left"/>
      <w:pPr>
        <w:tabs>
          <w:tab w:val="num" w:pos="5040"/>
        </w:tabs>
        <w:ind w:left="5040" w:hanging="360"/>
      </w:pPr>
      <w:rPr>
        <w:rFonts w:cs="Times New Roman"/>
      </w:rPr>
    </w:lvl>
    <w:lvl w:ilvl="7" w:tplc="DABC08B0" w:tentative="1">
      <w:start w:val="1"/>
      <w:numFmt w:val="decimal"/>
      <w:lvlText w:val="%8."/>
      <w:lvlJc w:val="left"/>
      <w:pPr>
        <w:tabs>
          <w:tab w:val="num" w:pos="5760"/>
        </w:tabs>
        <w:ind w:left="5760" w:hanging="360"/>
      </w:pPr>
      <w:rPr>
        <w:rFonts w:cs="Times New Roman"/>
      </w:rPr>
    </w:lvl>
    <w:lvl w:ilvl="8" w:tplc="A0A0A80C" w:tentative="1">
      <w:start w:val="1"/>
      <w:numFmt w:val="decimal"/>
      <w:lvlText w:val="%9."/>
      <w:lvlJc w:val="left"/>
      <w:pPr>
        <w:tabs>
          <w:tab w:val="num" w:pos="6480"/>
        </w:tabs>
        <w:ind w:left="6480" w:hanging="360"/>
      </w:pPr>
      <w:rPr>
        <w:rFonts w:cs="Times New Roman"/>
      </w:rPr>
    </w:lvl>
  </w:abstractNum>
  <w:abstractNum w:abstractNumId="7">
    <w:nsid w:val="2DB4136C"/>
    <w:multiLevelType w:val="hybridMultilevel"/>
    <w:tmpl w:val="8248942A"/>
    <w:lvl w:ilvl="0" w:tplc="08090019">
      <w:start w:val="1"/>
      <w:numFmt w:val="lowerLetter"/>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nsid w:val="2E9716E8"/>
    <w:multiLevelType w:val="hybridMultilevel"/>
    <w:tmpl w:val="D3E6C166"/>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EC16A89"/>
    <w:multiLevelType w:val="hybridMultilevel"/>
    <w:tmpl w:val="6652C73C"/>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nsid w:val="30001B64"/>
    <w:multiLevelType w:val="hybridMultilevel"/>
    <w:tmpl w:val="347494B8"/>
    <w:lvl w:ilvl="0" w:tplc="C00AF5DA">
      <w:start w:val="3"/>
      <w:numFmt w:val="decimal"/>
      <w:lvlText w:val="%1."/>
      <w:lvlJc w:val="left"/>
      <w:pPr>
        <w:tabs>
          <w:tab w:val="num" w:pos="360"/>
        </w:tabs>
        <w:ind w:left="360" w:hanging="360"/>
      </w:pPr>
      <w:rPr>
        <w:rFonts w:cs="Times New Roman" w:hint="default"/>
        <w:b/>
        <w:i w:val="0"/>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308F1682"/>
    <w:multiLevelType w:val="hybridMultilevel"/>
    <w:tmpl w:val="61D47404"/>
    <w:lvl w:ilvl="0" w:tplc="080E3DCA">
      <w:start w:val="1"/>
      <w:numFmt w:val="decimal"/>
      <w:lvlText w:val="%1."/>
      <w:lvlJc w:val="left"/>
      <w:pPr>
        <w:tabs>
          <w:tab w:val="num" w:pos="720"/>
        </w:tabs>
        <w:ind w:left="720" w:hanging="360"/>
      </w:pPr>
      <w:rPr>
        <w:rFonts w:cs="Times New Roman" w:hint="default"/>
        <w:b/>
        <w:i w:val="0"/>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33D4163E"/>
    <w:multiLevelType w:val="multilevel"/>
    <w:tmpl w:val="0972A5B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372F3C09"/>
    <w:multiLevelType w:val="hybridMultilevel"/>
    <w:tmpl w:val="B2201886"/>
    <w:lvl w:ilvl="0" w:tplc="508467FA">
      <w:start w:val="8"/>
      <w:numFmt w:val="decimal"/>
      <w:lvlText w:val="%1."/>
      <w:lvlJc w:val="left"/>
      <w:pPr>
        <w:tabs>
          <w:tab w:val="num" w:pos="360"/>
        </w:tabs>
        <w:ind w:left="360" w:hanging="360"/>
      </w:pPr>
      <w:rPr>
        <w:rFonts w:cs="Times New Roman" w:hint="default"/>
        <w:b/>
        <w:i w:val="0"/>
      </w:rPr>
    </w:lvl>
    <w:lvl w:ilvl="1" w:tplc="AE6AA8D0">
      <w:start w:val="1"/>
      <w:numFmt w:val="decimal"/>
      <w:lvlText w:val="%2."/>
      <w:lvlJc w:val="left"/>
      <w:pPr>
        <w:tabs>
          <w:tab w:val="num" w:pos="720"/>
        </w:tabs>
        <w:ind w:left="720" w:hanging="360"/>
      </w:pPr>
      <w:rPr>
        <w:rFonts w:cs="Times New Roman" w:hint="default"/>
        <w:b/>
        <w:i w:val="0"/>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14">
    <w:nsid w:val="38D047EB"/>
    <w:multiLevelType w:val="hybridMultilevel"/>
    <w:tmpl w:val="1E46C75C"/>
    <w:lvl w:ilvl="0" w:tplc="98F0D3F6">
      <w:start w:val="6"/>
      <w:numFmt w:val="decimal"/>
      <w:lvlText w:val="%1."/>
      <w:lvlJc w:val="left"/>
      <w:pPr>
        <w:tabs>
          <w:tab w:val="num" w:pos="540"/>
        </w:tabs>
        <w:ind w:left="540" w:hanging="360"/>
      </w:pPr>
      <w:rPr>
        <w:rFonts w:cs="Times New Roman" w:hint="default"/>
        <w:b/>
        <w:i w:val="0"/>
        <w:sz w:val="24"/>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3FCE0749"/>
    <w:multiLevelType w:val="hybridMultilevel"/>
    <w:tmpl w:val="3FE6BFA8"/>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423103A1"/>
    <w:multiLevelType w:val="hybridMultilevel"/>
    <w:tmpl w:val="E7180E22"/>
    <w:lvl w:ilvl="0" w:tplc="ABDA520A">
      <w:start w:val="1"/>
      <w:numFmt w:val="bullet"/>
      <w:lvlText w:val="•"/>
      <w:lvlJc w:val="left"/>
      <w:pPr>
        <w:tabs>
          <w:tab w:val="num" w:pos="720"/>
        </w:tabs>
        <w:ind w:left="720" w:hanging="360"/>
      </w:pPr>
      <w:rPr>
        <w:rFonts w:ascii="Times New Roman" w:hAnsi="Times New Roman" w:hint="default"/>
      </w:rPr>
    </w:lvl>
    <w:lvl w:ilvl="1" w:tplc="9EA22C1E" w:tentative="1">
      <w:start w:val="1"/>
      <w:numFmt w:val="bullet"/>
      <w:lvlText w:val="•"/>
      <w:lvlJc w:val="left"/>
      <w:pPr>
        <w:tabs>
          <w:tab w:val="num" w:pos="1440"/>
        </w:tabs>
        <w:ind w:left="1440" w:hanging="360"/>
      </w:pPr>
      <w:rPr>
        <w:rFonts w:ascii="Times New Roman" w:hAnsi="Times New Roman" w:hint="default"/>
      </w:rPr>
    </w:lvl>
    <w:lvl w:ilvl="2" w:tplc="F6768E14" w:tentative="1">
      <w:start w:val="1"/>
      <w:numFmt w:val="bullet"/>
      <w:lvlText w:val="•"/>
      <w:lvlJc w:val="left"/>
      <w:pPr>
        <w:tabs>
          <w:tab w:val="num" w:pos="2160"/>
        </w:tabs>
        <w:ind w:left="2160" w:hanging="360"/>
      </w:pPr>
      <w:rPr>
        <w:rFonts w:ascii="Times New Roman" w:hAnsi="Times New Roman" w:hint="default"/>
      </w:rPr>
    </w:lvl>
    <w:lvl w:ilvl="3" w:tplc="1FAA22AA" w:tentative="1">
      <w:start w:val="1"/>
      <w:numFmt w:val="bullet"/>
      <w:lvlText w:val="•"/>
      <w:lvlJc w:val="left"/>
      <w:pPr>
        <w:tabs>
          <w:tab w:val="num" w:pos="2880"/>
        </w:tabs>
        <w:ind w:left="2880" w:hanging="360"/>
      </w:pPr>
      <w:rPr>
        <w:rFonts w:ascii="Times New Roman" w:hAnsi="Times New Roman" w:hint="default"/>
      </w:rPr>
    </w:lvl>
    <w:lvl w:ilvl="4" w:tplc="33E65566" w:tentative="1">
      <w:start w:val="1"/>
      <w:numFmt w:val="bullet"/>
      <w:lvlText w:val="•"/>
      <w:lvlJc w:val="left"/>
      <w:pPr>
        <w:tabs>
          <w:tab w:val="num" w:pos="3600"/>
        </w:tabs>
        <w:ind w:left="3600" w:hanging="360"/>
      </w:pPr>
      <w:rPr>
        <w:rFonts w:ascii="Times New Roman" w:hAnsi="Times New Roman" w:hint="default"/>
      </w:rPr>
    </w:lvl>
    <w:lvl w:ilvl="5" w:tplc="8A009D28" w:tentative="1">
      <w:start w:val="1"/>
      <w:numFmt w:val="bullet"/>
      <w:lvlText w:val="•"/>
      <w:lvlJc w:val="left"/>
      <w:pPr>
        <w:tabs>
          <w:tab w:val="num" w:pos="4320"/>
        </w:tabs>
        <w:ind w:left="4320" w:hanging="360"/>
      </w:pPr>
      <w:rPr>
        <w:rFonts w:ascii="Times New Roman" w:hAnsi="Times New Roman" w:hint="default"/>
      </w:rPr>
    </w:lvl>
    <w:lvl w:ilvl="6" w:tplc="6DD88078" w:tentative="1">
      <w:start w:val="1"/>
      <w:numFmt w:val="bullet"/>
      <w:lvlText w:val="•"/>
      <w:lvlJc w:val="left"/>
      <w:pPr>
        <w:tabs>
          <w:tab w:val="num" w:pos="5040"/>
        </w:tabs>
        <w:ind w:left="5040" w:hanging="360"/>
      </w:pPr>
      <w:rPr>
        <w:rFonts w:ascii="Times New Roman" w:hAnsi="Times New Roman" w:hint="default"/>
      </w:rPr>
    </w:lvl>
    <w:lvl w:ilvl="7" w:tplc="1BA05134" w:tentative="1">
      <w:start w:val="1"/>
      <w:numFmt w:val="bullet"/>
      <w:lvlText w:val="•"/>
      <w:lvlJc w:val="left"/>
      <w:pPr>
        <w:tabs>
          <w:tab w:val="num" w:pos="5760"/>
        </w:tabs>
        <w:ind w:left="5760" w:hanging="360"/>
      </w:pPr>
      <w:rPr>
        <w:rFonts w:ascii="Times New Roman" w:hAnsi="Times New Roman" w:hint="default"/>
      </w:rPr>
    </w:lvl>
    <w:lvl w:ilvl="8" w:tplc="94365F2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76C4A6E"/>
    <w:multiLevelType w:val="hybridMultilevel"/>
    <w:tmpl w:val="621EB2B8"/>
    <w:lvl w:ilvl="0" w:tplc="AE184566">
      <w:start w:val="1"/>
      <w:numFmt w:val="lowerLetter"/>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47943324"/>
    <w:multiLevelType w:val="hybridMultilevel"/>
    <w:tmpl w:val="4412CE2E"/>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9">
      <w:start w:val="1"/>
      <w:numFmt w:val="lowerLetter"/>
      <w:lvlText w:val="%3."/>
      <w:lvlJc w:val="lef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4BB06B30"/>
    <w:multiLevelType w:val="hybridMultilevel"/>
    <w:tmpl w:val="B574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A4644B"/>
    <w:multiLevelType w:val="hybridMultilevel"/>
    <w:tmpl w:val="C832D396"/>
    <w:lvl w:ilvl="0" w:tplc="18664988">
      <w:start w:val="1"/>
      <w:numFmt w:val="lowerLetter"/>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534B2EE9"/>
    <w:multiLevelType w:val="hybridMultilevel"/>
    <w:tmpl w:val="8BD0187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86271E7"/>
    <w:multiLevelType w:val="hybridMultilevel"/>
    <w:tmpl w:val="03ECAEA0"/>
    <w:lvl w:ilvl="0" w:tplc="528AF916">
      <w:start w:val="1"/>
      <w:numFmt w:val="lowerRoman"/>
      <w:lvlText w:val="%1."/>
      <w:lvlJc w:val="left"/>
      <w:pPr>
        <w:tabs>
          <w:tab w:val="num" w:pos="360"/>
        </w:tabs>
        <w:ind w:left="36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B36A6DC2">
      <w:start w:val="3"/>
      <w:numFmt w:val="decimal"/>
      <w:lvlText w:val="%4."/>
      <w:lvlJc w:val="left"/>
      <w:pPr>
        <w:tabs>
          <w:tab w:val="num" w:pos="2880"/>
        </w:tabs>
        <w:ind w:left="2880" w:hanging="36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5BF17D9A"/>
    <w:multiLevelType w:val="hybridMultilevel"/>
    <w:tmpl w:val="AFF4B5CC"/>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66465194"/>
    <w:multiLevelType w:val="hybridMultilevel"/>
    <w:tmpl w:val="C0EA7382"/>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68D7527C"/>
    <w:multiLevelType w:val="hybridMultilevel"/>
    <w:tmpl w:val="96CCA1FA"/>
    <w:lvl w:ilvl="0" w:tplc="29A4BD92">
      <w:start w:val="6"/>
      <w:numFmt w:val="decimal"/>
      <w:lvlText w:val="%1."/>
      <w:lvlJc w:val="left"/>
      <w:pPr>
        <w:tabs>
          <w:tab w:val="num" w:pos="720"/>
        </w:tabs>
        <w:ind w:left="720" w:hanging="360"/>
      </w:pPr>
      <w:rPr>
        <w:rFonts w:cs="Times New Roman"/>
      </w:rPr>
    </w:lvl>
    <w:lvl w:ilvl="1" w:tplc="12BE6010">
      <w:start w:val="1"/>
      <w:numFmt w:val="upperRoman"/>
      <w:lvlText w:val="%2."/>
      <w:lvlJc w:val="right"/>
      <w:pPr>
        <w:tabs>
          <w:tab w:val="num" w:pos="900"/>
        </w:tabs>
        <w:ind w:left="900" w:hanging="360"/>
      </w:pPr>
      <w:rPr>
        <w:rFonts w:cs="Times New Roman"/>
      </w:rPr>
    </w:lvl>
    <w:lvl w:ilvl="2" w:tplc="C1FC5DAE">
      <w:start w:val="1"/>
      <w:numFmt w:val="decimal"/>
      <w:lvlText w:val="%3."/>
      <w:lvlJc w:val="left"/>
      <w:pPr>
        <w:tabs>
          <w:tab w:val="num" w:pos="2160"/>
        </w:tabs>
        <w:ind w:left="2160" w:hanging="360"/>
      </w:pPr>
      <w:rPr>
        <w:rFonts w:cs="Times New Roman"/>
      </w:rPr>
    </w:lvl>
    <w:lvl w:ilvl="3" w:tplc="33E8D65A" w:tentative="1">
      <w:start w:val="1"/>
      <w:numFmt w:val="decimal"/>
      <w:lvlText w:val="%4."/>
      <w:lvlJc w:val="left"/>
      <w:pPr>
        <w:tabs>
          <w:tab w:val="num" w:pos="2880"/>
        </w:tabs>
        <w:ind w:left="2880" w:hanging="360"/>
      </w:pPr>
      <w:rPr>
        <w:rFonts w:cs="Times New Roman"/>
      </w:rPr>
    </w:lvl>
    <w:lvl w:ilvl="4" w:tplc="E76E24C6" w:tentative="1">
      <w:start w:val="1"/>
      <w:numFmt w:val="decimal"/>
      <w:lvlText w:val="%5."/>
      <w:lvlJc w:val="left"/>
      <w:pPr>
        <w:tabs>
          <w:tab w:val="num" w:pos="3600"/>
        </w:tabs>
        <w:ind w:left="3600" w:hanging="360"/>
      </w:pPr>
      <w:rPr>
        <w:rFonts w:cs="Times New Roman"/>
      </w:rPr>
    </w:lvl>
    <w:lvl w:ilvl="5" w:tplc="2B6E82B6" w:tentative="1">
      <w:start w:val="1"/>
      <w:numFmt w:val="decimal"/>
      <w:lvlText w:val="%6."/>
      <w:lvlJc w:val="left"/>
      <w:pPr>
        <w:tabs>
          <w:tab w:val="num" w:pos="4320"/>
        </w:tabs>
        <w:ind w:left="4320" w:hanging="360"/>
      </w:pPr>
      <w:rPr>
        <w:rFonts w:cs="Times New Roman"/>
      </w:rPr>
    </w:lvl>
    <w:lvl w:ilvl="6" w:tplc="1B54AFCC" w:tentative="1">
      <w:start w:val="1"/>
      <w:numFmt w:val="decimal"/>
      <w:lvlText w:val="%7."/>
      <w:lvlJc w:val="left"/>
      <w:pPr>
        <w:tabs>
          <w:tab w:val="num" w:pos="5040"/>
        </w:tabs>
        <w:ind w:left="5040" w:hanging="360"/>
      </w:pPr>
      <w:rPr>
        <w:rFonts w:cs="Times New Roman"/>
      </w:rPr>
    </w:lvl>
    <w:lvl w:ilvl="7" w:tplc="ADDE9772" w:tentative="1">
      <w:start w:val="1"/>
      <w:numFmt w:val="decimal"/>
      <w:lvlText w:val="%8."/>
      <w:lvlJc w:val="left"/>
      <w:pPr>
        <w:tabs>
          <w:tab w:val="num" w:pos="5760"/>
        </w:tabs>
        <w:ind w:left="5760" w:hanging="360"/>
      </w:pPr>
      <w:rPr>
        <w:rFonts w:cs="Times New Roman"/>
      </w:rPr>
    </w:lvl>
    <w:lvl w:ilvl="8" w:tplc="9E26B16A" w:tentative="1">
      <w:start w:val="1"/>
      <w:numFmt w:val="decimal"/>
      <w:lvlText w:val="%9."/>
      <w:lvlJc w:val="left"/>
      <w:pPr>
        <w:tabs>
          <w:tab w:val="num" w:pos="6480"/>
        </w:tabs>
        <w:ind w:left="6480" w:hanging="360"/>
      </w:pPr>
      <w:rPr>
        <w:rFonts w:cs="Times New Roman"/>
      </w:rPr>
    </w:lvl>
  </w:abstractNum>
  <w:abstractNum w:abstractNumId="26">
    <w:nsid w:val="6DC91866"/>
    <w:multiLevelType w:val="hybridMultilevel"/>
    <w:tmpl w:val="8236F986"/>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72880A93"/>
    <w:multiLevelType w:val="hybridMultilevel"/>
    <w:tmpl w:val="8B64E594"/>
    <w:lvl w:ilvl="0" w:tplc="AE6AA8D0">
      <w:start w:val="1"/>
      <w:numFmt w:val="decimal"/>
      <w:lvlText w:val="%1."/>
      <w:lvlJc w:val="left"/>
      <w:pPr>
        <w:tabs>
          <w:tab w:val="num" w:pos="720"/>
        </w:tabs>
        <w:ind w:left="720" w:hanging="360"/>
      </w:pPr>
      <w:rPr>
        <w:rFonts w:cs="Times New Roman" w:hint="default"/>
      </w:rPr>
    </w:lvl>
    <w:lvl w:ilvl="1" w:tplc="0809000F">
      <w:start w:val="1"/>
      <w:numFmt w:val="decimal"/>
      <w:lvlText w:val="%2."/>
      <w:lvlJc w:val="left"/>
      <w:pPr>
        <w:tabs>
          <w:tab w:val="num" w:pos="1800"/>
        </w:tabs>
        <w:ind w:left="1800" w:hanging="360"/>
      </w:pPr>
      <w:rPr>
        <w:rFonts w:cs="Times New Roman" w:hint="default"/>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8">
    <w:nsid w:val="72A15185"/>
    <w:multiLevelType w:val="hybridMultilevel"/>
    <w:tmpl w:val="68E6C92C"/>
    <w:lvl w:ilvl="0" w:tplc="9DBA6C06">
      <w:start w:val="3"/>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72C70DD5"/>
    <w:multiLevelType w:val="hybridMultilevel"/>
    <w:tmpl w:val="4EC8C6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73350799"/>
    <w:multiLevelType w:val="hybridMultilevel"/>
    <w:tmpl w:val="0050617C"/>
    <w:lvl w:ilvl="0" w:tplc="0409000F">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1">
    <w:nsid w:val="76905739"/>
    <w:multiLevelType w:val="hybridMultilevel"/>
    <w:tmpl w:val="F30CC4BA"/>
    <w:lvl w:ilvl="0" w:tplc="74A0A2BA">
      <w:start w:val="2"/>
      <w:numFmt w:val="decimal"/>
      <w:lvlText w:val="%1."/>
      <w:lvlJc w:val="left"/>
      <w:pPr>
        <w:tabs>
          <w:tab w:val="num" w:pos="360"/>
        </w:tabs>
        <w:ind w:left="360" w:hanging="360"/>
      </w:pPr>
      <w:rPr>
        <w:rFonts w:cs="Times New Roman" w:hint="default"/>
      </w:rPr>
    </w:lvl>
    <w:lvl w:ilvl="1" w:tplc="08090019">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2">
    <w:nsid w:val="79F924F9"/>
    <w:multiLevelType w:val="hybridMultilevel"/>
    <w:tmpl w:val="5B846454"/>
    <w:lvl w:ilvl="0" w:tplc="75B65940">
      <w:start w:val="1"/>
      <w:numFmt w:val="lowerLetter"/>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3"/>
  </w:num>
  <w:num w:numId="2">
    <w:abstractNumId w:val="29"/>
  </w:num>
  <w:num w:numId="3">
    <w:abstractNumId w:val="27"/>
  </w:num>
  <w:num w:numId="4">
    <w:abstractNumId w:val="23"/>
  </w:num>
  <w:num w:numId="5">
    <w:abstractNumId w:val="30"/>
  </w:num>
  <w:num w:numId="6">
    <w:abstractNumId w:val="9"/>
  </w:num>
  <w:num w:numId="7">
    <w:abstractNumId w:val="0"/>
  </w:num>
  <w:num w:numId="8">
    <w:abstractNumId w:val="16"/>
  </w:num>
  <w:num w:numId="9">
    <w:abstractNumId w:val="20"/>
  </w:num>
  <w:num w:numId="10">
    <w:abstractNumId w:val="17"/>
  </w:num>
  <w:num w:numId="11">
    <w:abstractNumId w:val="4"/>
  </w:num>
  <w:num w:numId="12">
    <w:abstractNumId w:val="24"/>
  </w:num>
  <w:num w:numId="13">
    <w:abstractNumId w:val="15"/>
  </w:num>
  <w:num w:numId="14">
    <w:abstractNumId w:val="8"/>
  </w:num>
  <w:num w:numId="15">
    <w:abstractNumId w:val="26"/>
  </w:num>
  <w:num w:numId="16">
    <w:abstractNumId w:val="5"/>
  </w:num>
  <w:num w:numId="17">
    <w:abstractNumId w:val="18"/>
  </w:num>
  <w:num w:numId="18">
    <w:abstractNumId w:val="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9"/>
  </w:num>
  <w:num w:numId="26">
    <w:abstractNumId w:val="1"/>
  </w:num>
  <w:num w:numId="27">
    <w:abstractNumId w:val="22"/>
  </w:num>
  <w:num w:numId="28">
    <w:abstractNumId w:val="28"/>
  </w:num>
  <w:num w:numId="29">
    <w:abstractNumId w:val="21"/>
  </w:num>
  <w:num w:numId="30">
    <w:abstractNumId w:val="31"/>
  </w:num>
  <w:num w:numId="31">
    <w:abstractNumId w:val="7"/>
  </w:num>
  <w:num w:numId="32">
    <w:abstractNumId w:val="32"/>
  </w:num>
  <w:num w:numId="33">
    <w:abstractNumId w:val="12"/>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C7B"/>
    <w:rsid w:val="000030EE"/>
    <w:rsid w:val="00003A0E"/>
    <w:rsid w:val="00012C20"/>
    <w:rsid w:val="000314F5"/>
    <w:rsid w:val="0003484B"/>
    <w:rsid w:val="00034A5D"/>
    <w:rsid w:val="00043A97"/>
    <w:rsid w:val="000646E6"/>
    <w:rsid w:val="00065008"/>
    <w:rsid w:val="000729BB"/>
    <w:rsid w:val="00074EED"/>
    <w:rsid w:val="0009172C"/>
    <w:rsid w:val="000C18FE"/>
    <w:rsid w:val="001060FD"/>
    <w:rsid w:val="00112CE2"/>
    <w:rsid w:val="00137650"/>
    <w:rsid w:val="00150CA8"/>
    <w:rsid w:val="0015638B"/>
    <w:rsid w:val="00164DD0"/>
    <w:rsid w:val="0017492D"/>
    <w:rsid w:val="00190FB9"/>
    <w:rsid w:val="001A4E4B"/>
    <w:rsid w:val="001A5C0C"/>
    <w:rsid w:val="001C3FDF"/>
    <w:rsid w:val="001C6C0A"/>
    <w:rsid w:val="001E4684"/>
    <w:rsid w:val="001F206A"/>
    <w:rsid w:val="001F3BD4"/>
    <w:rsid w:val="001F501B"/>
    <w:rsid w:val="00211DD4"/>
    <w:rsid w:val="00221408"/>
    <w:rsid w:val="002747E4"/>
    <w:rsid w:val="002749CB"/>
    <w:rsid w:val="00275A71"/>
    <w:rsid w:val="0028601E"/>
    <w:rsid w:val="00293F21"/>
    <w:rsid w:val="002B40B9"/>
    <w:rsid w:val="002C0566"/>
    <w:rsid w:val="002C1A95"/>
    <w:rsid w:val="002C26DB"/>
    <w:rsid w:val="002D4A2A"/>
    <w:rsid w:val="002F2862"/>
    <w:rsid w:val="003016F5"/>
    <w:rsid w:val="00303DD3"/>
    <w:rsid w:val="003046B7"/>
    <w:rsid w:val="00307A3C"/>
    <w:rsid w:val="003102E4"/>
    <w:rsid w:val="00310560"/>
    <w:rsid w:val="00310CB2"/>
    <w:rsid w:val="00320BDE"/>
    <w:rsid w:val="00321AC2"/>
    <w:rsid w:val="003427DB"/>
    <w:rsid w:val="00346CB8"/>
    <w:rsid w:val="0035704D"/>
    <w:rsid w:val="00364E66"/>
    <w:rsid w:val="00365058"/>
    <w:rsid w:val="003771FF"/>
    <w:rsid w:val="003D12E4"/>
    <w:rsid w:val="003E1DC9"/>
    <w:rsid w:val="003E2AF9"/>
    <w:rsid w:val="003F0B61"/>
    <w:rsid w:val="003F1C07"/>
    <w:rsid w:val="00400D0A"/>
    <w:rsid w:val="00414910"/>
    <w:rsid w:val="00420084"/>
    <w:rsid w:val="00424CD3"/>
    <w:rsid w:val="00424D0D"/>
    <w:rsid w:val="0042631B"/>
    <w:rsid w:val="0042681D"/>
    <w:rsid w:val="00430842"/>
    <w:rsid w:val="0045269B"/>
    <w:rsid w:val="00455075"/>
    <w:rsid w:val="00466373"/>
    <w:rsid w:val="004710A5"/>
    <w:rsid w:val="004769D6"/>
    <w:rsid w:val="004862BD"/>
    <w:rsid w:val="004873F5"/>
    <w:rsid w:val="004A0E00"/>
    <w:rsid w:val="004A4500"/>
    <w:rsid w:val="004B0389"/>
    <w:rsid w:val="004B2208"/>
    <w:rsid w:val="004C3E83"/>
    <w:rsid w:val="004D4C1D"/>
    <w:rsid w:val="004E2AD8"/>
    <w:rsid w:val="004F52B2"/>
    <w:rsid w:val="00514416"/>
    <w:rsid w:val="00514D75"/>
    <w:rsid w:val="0052260D"/>
    <w:rsid w:val="005271DB"/>
    <w:rsid w:val="00535FF3"/>
    <w:rsid w:val="00564F1F"/>
    <w:rsid w:val="005669D9"/>
    <w:rsid w:val="005712F7"/>
    <w:rsid w:val="005A337C"/>
    <w:rsid w:val="005A6938"/>
    <w:rsid w:val="005B2631"/>
    <w:rsid w:val="005C1EAC"/>
    <w:rsid w:val="005C3865"/>
    <w:rsid w:val="005D0544"/>
    <w:rsid w:val="005D4B5A"/>
    <w:rsid w:val="005E1C95"/>
    <w:rsid w:val="005F2110"/>
    <w:rsid w:val="005F5DE8"/>
    <w:rsid w:val="0060488B"/>
    <w:rsid w:val="006135C0"/>
    <w:rsid w:val="00613BC3"/>
    <w:rsid w:val="0061572B"/>
    <w:rsid w:val="006219F5"/>
    <w:rsid w:val="00634DE4"/>
    <w:rsid w:val="00636A4D"/>
    <w:rsid w:val="00645E33"/>
    <w:rsid w:val="006537D6"/>
    <w:rsid w:val="006547B6"/>
    <w:rsid w:val="00655F43"/>
    <w:rsid w:val="006654FD"/>
    <w:rsid w:val="006B321A"/>
    <w:rsid w:val="006B3458"/>
    <w:rsid w:val="006C1EFF"/>
    <w:rsid w:val="006C4390"/>
    <w:rsid w:val="006C60B9"/>
    <w:rsid w:val="006E0F44"/>
    <w:rsid w:val="006F1627"/>
    <w:rsid w:val="006F4FE3"/>
    <w:rsid w:val="00704ED3"/>
    <w:rsid w:val="00705BCB"/>
    <w:rsid w:val="00720F59"/>
    <w:rsid w:val="007227C6"/>
    <w:rsid w:val="007235C2"/>
    <w:rsid w:val="00726CEE"/>
    <w:rsid w:val="00745627"/>
    <w:rsid w:val="00753D24"/>
    <w:rsid w:val="007551D4"/>
    <w:rsid w:val="0077034B"/>
    <w:rsid w:val="00771CDF"/>
    <w:rsid w:val="00776633"/>
    <w:rsid w:val="0078182C"/>
    <w:rsid w:val="00792343"/>
    <w:rsid w:val="00794A8B"/>
    <w:rsid w:val="007A3298"/>
    <w:rsid w:val="007B05CD"/>
    <w:rsid w:val="007B3CD8"/>
    <w:rsid w:val="007B4484"/>
    <w:rsid w:val="007F0FCD"/>
    <w:rsid w:val="00801381"/>
    <w:rsid w:val="008021F3"/>
    <w:rsid w:val="008156CB"/>
    <w:rsid w:val="00821EC0"/>
    <w:rsid w:val="00833103"/>
    <w:rsid w:val="0085143B"/>
    <w:rsid w:val="0085241F"/>
    <w:rsid w:val="0085716E"/>
    <w:rsid w:val="00861258"/>
    <w:rsid w:val="00867AFC"/>
    <w:rsid w:val="008748E0"/>
    <w:rsid w:val="00891926"/>
    <w:rsid w:val="00892DE9"/>
    <w:rsid w:val="00896C41"/>
    <w:rsid w:val="008B0217"/>
    <w:rsid w:val="008B677C"/>
    <w:rsid w:val="008E3D04"/>
    <w:rsid w:val="008E4215"/>
    <w:rsid w:val="008F51B6"/>
    <w:rsid w:val="00922AC2"/>
    <w:rsid w:val="00923DFC"/>
    <w:rsid w:val="00946698"/>
    <w:rsid w:val="00946D2D"/>
    <w:rsid w:val="00946DB5"/>
    <w:rsid w:val="009551DE"/>
    <w:rsid w:val="00971A84"/>
    <w:rsid w:val="009762E2"/>
    <w:rsid w:val="009842A7"/>
    <w:rsid w:val="00992A1D"/>
    <w:rsid w:val="009A18DA"/>
    <w:rsid w:val="009A7A78"/>
    <w:rsid w:val="009B0E97"/>
    <w:rsid w:val="009C2737"/>
    <w:rsid w:val="009D2CDF"/>
    <w:rsid w:val="009D3164"/>
    <w:rsid w:val="009D3B2E"/>
    <w:rsid w:val="009D3EEC"/>
    <w:rsid w:val="009E30D0"/>
    <w:rsid w:val="00A21C81"/>
    <w:rsid w:val="00A35F8B"/>
    <w:rsid w:val="00A42A02"/>
    <w:rsid w:val="00A553A9"/>
    <w:rsid w:val="00A67E3F"/>
    <w:rsid w:val="00A876C4"/>
    <w:rsid w:val="00A9296F"/>
    <w:rsid w:val="00A93DFD"/>
    <w:rsid w:val="00AA1300"/>
    <w:rsid w:val="00AC2FCA"/>
    <w:rsid w:val="00AC3494"/>
    <w:rsid w:val="00AE2E46"/>
    <w:rsid w:val="00AE653C"/>
    <w:rsid w:val="00AF716A"/>
    <w:rsid w:val="00AF7A0B"/>
    <w:rsid w:val="00B00A58"/>
    <w:rsid w:val="00B01DAD"/>
    <w:rsid w:val="00B114D6"/>
    <w:rsid w:val="00B12F9B"/>
    <w:rsid w:val="00B36DDD"/>
    <w:rsid w:val="00B46F9F"/>
    <w:rsid w:val="00B528B3"/>
    <w:rsid w:val="00B53EEA"/>
    <w:rsid w:val="00B64ACC"/>
    <w:rsid w:val="00B7453C"/>
    <w:rsid w:val="00B81F90"/>
    <w:rsid w:val="00B8687C"/>
    <w:rsid w:val="00B9104B"/>
    <w:rsid w:val="00B95AA8"/>
    <w:rsid w:val="00BA1DF5"/>
    <w:rsid w:val="00BA6E12"/>
    <w:rsid w:val="00BB0A7D"/>
    <w:rsid w:val="00BB7446"/>
    <w:rsid w:val="00BC0F97"/>
    <w:rsid w:val="00BC1D23"/>
    <w:rsid w:val="00BC72DE"/>
    <w:rsid w:val="00BE4335"/>
    <w:rsid w:val="00BF1A64"/>
    <w:rsid w:val="00BF6343"/>
    <w:rsid w:val="00BF7411"/>
    <w:rsid w:val="00C00B92"/>
    <w:rsid w:val="00C00D5B"/>
    <w:rsid w:val="00C0472E"/>
    <w:rsid w:val="00C05B43"/>
    <w:rsid w:val="00C07FCC"/>
    <w:rsid w:val="00C1290F"/>
    <w:rsid w:val="00C3070E"/>
    <w:rsid w:val="00C36EA5"/>
    <w:rsid w:val="00C41954"/>
    <w:rsid w:val="00C47445"/>
    <w:rsid w:val="00C47DEA"/>
    <w:rsid w:val="00C80A38"/>
    <w:rsid w:val="00C81756"/>
    <w:rsid w:val="00CA1620"/>
    <w:rsid w:val="00CB099B"/>
    <w:rsid w:val="00CB38CE"/>
    <w:rsid w:val="00CC425A"/>
    <w:rsid w:val="00CC754A"/>
    <w:rsid w:val="00CD4BD5"/>
    <w:rsid w:val="00CE58F3"/>
    <w:rsid w:val="00D01DF5"/>
    <w:rsid w:val="00D2017B"/>
    <w:rsid w:val="00D216F4"/>
    <w:rsid w:val="00D22C71"/>
    <w:rsid w:val="00D30220"/>
    <w:rsid w:val="00D66074"/>
    <w:rsid w:val="00D91570"/>
    <w:rsid w:val="00D92A70"/>
    <w:rsid w:val="00D94925"/>
    <w:rsid w:val="00DB171C"/>
    <w:rsid w:val="00DB5F30"/>
    <w:rsid w:val="00DD225E"/>
    <w:rsid w:val="00DD262D"/>
    <w:rsid w:val="00DD2656"/>
    <w:rsid w:val="00DD6BA3"/>
    <w:rsid w:val="00DE5B74"/>
    <w:rsid w:val="00DF15D1"/>
    <w:rsid w:val="00DF7D97"/>
    <w:rsid w:val="00E07264"/>
    <w:rsid w:val="00E419D7"/>
    <w:rsid w:val="00E4219A"/>
    <w:rsid w:val="00E50FB1"/>
    <w:rsid w:val="00E53C6E"/>
    <w:rsid w:val="00E64D87"/>
    <w:rsid w:val="00E70E21"/>
    <w:rsid w:val="00E71C00"/>
    <w:rsid w:val="00E7242D"/>
    <w:rsid w:val="00E75C7B"/>
    <w:rsid w:val="00EB0ADD"/>
    <w:rsid w:val="00EB1100"/>
    <w:rsid w:val="00EB2192"/>
    <w:rsid w:val="00ED1A0A"/>
    <w:rsid w:val="00ED3C87"/>
    <w:rsid w:val="00EF5184"/>
    <w:rsid w:val="00EF5E45"/>
    <w:rsid w:val="00F00375"/>
    <w:rsid w:val="00F13A9D"/>
    <w:rsid w:val="00F14F6F"/>
    <w:rsid w:val="00F21272"/>
    <w:rsid w:val="00F401BC"/>
    <w:rsid w:val="00F42BBC"/>
    <w:rsid w:val="00F44029"/>
    <w:rsid w:val="00F52100"/>
    <w:rsid w:val="00F6414A"/>
    <w:rsid w:val="00F66AB1"/>
    <w:rsid w:val="00F66B06"/>
    <w:rsid w:val="00F71BC7"/>
    <w:rsid w:val="00F756AF"/>
    <w:rsid w:val="00F77157"/>
    <w:rsid w:val="00F8502F"/>
    <w:rsid w:val="00FA12ED"/>
    <w:rsid w:val="00FB4B91"/>
    <w:rsid w:val="00FC5AEF"/>
    <w:rsid w:val="00FE3CF4"/>
    <w:rsid w:val="00FE652F"/>
    <w:rsid w:val="00FE6AFC"/>
    <w:rsid w:val="00FF268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ersonName"/>
  <w:smartTagType w:namespaceuri="urn:schemas-microsoft-com:office:smarttags" w:name="plac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0A5"/>
    <w:rPr>
      <w:rFonts w:ascii="Arial" w:hAnsi="Arial"/>
      <w:sz w:val="24"/>
      <w:szCs w:val="24"/>
    </w:rPr>
  </w:style>
  <w:style w:type="paragraph" w:styleId="Heading1">
    <w:name w:val="heading 1"/>
    <w:basedOn w:val="Normal"/>
    <w:link w:val="Heading1Char"/>
    <w:uiPriority w:val="99"/>
    <w:qFormat/>
    <w:rsid w:val="00946DB5"/>
    <w:pPr>
      <w:spacing w:before="100" w:beforeAutospacing="1" w:after="100" w:afterAutospacing="1" w:line="264" w:lineRule="atLeast"/>
      <w:outlineLvl w:val="0"/>
    </w:pPr>
    <w:rPr>
      <w:rFonts w:ascii="Times New Roman" w:hAnsi="Times New Roman"/>
      <w:b/>
      <w:bCs/>
      <w:kern w:val="36"/>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73F5"/>
    <w:rPr>
      <w:rFonts w:ascii="Cambria" w:hAnsi="Cambria" w:cs="Times New Roman"/>
      <w:b/>
      <w:bCs/>
      <w:kern w:val="32"/>
      <w:sz w:val="32"/>
      <w:szCs w:val="32"/>
    </w:rPr>
  </w:style>
  <w:style w:type="paragraph" w:styleId="Header">
    <w:name w:val="header"/>
    <w:basedOn w:val="Normal"/>
    <w:link w:val="HeaderChar"/>
    <w:uiPriority w:val="99"/>
    <w:rsid w:val="00A553A9"/>
    <w:pPr>
      <w:tabs>
        <w:tab w:val="center" w:pos="4153"/>
        <w:tab w:val="right" w:pos="8306"/>
      </w:tabs>
    </w:pPr>
  </w:style>
  <w:style w:type="character" w:customStyle="1" w:styleId="HeaderChar">
    <w:name w:val="Header Char"/>
    <w:basedOn w:val="DefaultParagraphFont"/>
    <w:link w:val="Header"/>
    <w:uiPriority w:val="99"/>
    <w:semiHidden/>
    <w:locked/>
    <w:rsid w:val="008156CB"/>
    <w:rPr>
      <w:rFonts w:ascii="Arial" w:hAnsi="Arial" w:cs="Times New Roman"/>
      <w:sz w:val="24"/>
      <w:szCs w:val="24"/>
      <w:lang w:val="en-GB" w:eastAsia="en-GB" w:bidi="ar-SA"/>
    </w:rPr>
  </w:style>
  <w:style w:type="paragraph" w:styleId="Footer">
    <w:name w:val="footer"/>
    <w:basedOn w:val="Normal"/>
    <w:link w:val="FooterChar"/>
    <w:uiPriority w:val="99"/>
    <w:rsid w:val="00A553A9"/>
    <w:pPr>
      <w:tabs>
        <w:tab w:val="center" w:pos="4153"/>
        <w:tab w:val="right" w:pos="8306"/>
      </w:tabs>
    </w:pPr>
  </w:style>
  <w:style w:type="character" w:customStyle="1" w:styleId="FooterChar">
    <w:name w:val="Footer Char"/>
    <w:basedOn w:val="DefaultParagraphFont"/>
    <w:link w:val="Footer"/>
    <w:uiPriority w:val="99"/>
    <w:semiHidden/>
    <w:locked/>
    <w:rsid w:val="008156CB"/>
    <w:rPr>
      <w:rFonts w:ascii="Arial" w:hAnsi="Arial" w:cs="Times New Roman"/>
      <w:sz w:val="24"/>
      <w:szCs w:val="24"/>
      <w:lang w:val="en-GB" w:eastAsia="en-GB" w:bidi="ar-SA"/>
    </w:rPr>
  </w:style>
  <w:style w:type="character" w:styleId="PageNumber">
    <w:name w:val="page number"/>
    <w:basedOn w:val="DefaultParagraphFont"/>
    <w:uiPriority w:val="99"/>
    <w:rsid w:val="00A553A9"/>
    <w:rPr>
      <w:rFonts w:cs="Times New Roman"/>
    </w:rPr>
  </w:style>
  <w:style w:type="paragraph" w:styleId="DocumentMap">
    <w:name w:val="Document Map"/>
    <w:basedOn w:val="Normal"/>
    <w:link w:val="DocumentMapChar"/>
    <w:uiPriority w:val="99"/>
    <w:semiHidden/>
    <w:rsid w:val="00EF5E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4873F5"/>
    <w:rPr>
      <w:rFonts w:cs="Times New Roman"/>
      <w:sz w:val="2"/>
    </w:rPr>
  </w:style>
  <w:style w:type="character" w:customStyle="1" w:styleId="goohl01">
    <w:name w:val="goohl01"/>
    <w:basedOn w:val="DefaultParagraphFont"/>
    <w:uiPriority w:val="99"/>
    <w:rsid w:val="004A0E00"/>
    <w:rPr>
      <w:rFonts w:cs="Times New Roman"/>
      <w:color w:val="000000"/>
      <w:shd w:val="clear" w:color="auto" w:fill="FFFF66"/>
    </w:rPr>
  </w:style>
  <w:style w:type="paragraph" w:styleId="ListParagraph">
    <w:name w:val="List Paragraph"/>
    <w:basedOn w:val="Normal"/>
    <w:uiPriority w:val="99"/>
    <w:qFormat/>
    <w:rsid w:val="004A0E00"/>
    <w:pPr>
      <w:ind w:left="720"/>
      <w:contextualSpacing/>
    </w:pPr>
    <w:rPr>
      <w:rFonts w:ascii="Times New Roman" w:hAnsi="Times New Roman"/>
      <w:lang w:val="en-US" w:eastAsia="en-US"/>
    </w:rPr>
  </w:style>
  <w:style w:type="paragraph" w:customStyle="1" w:styleId="normal0">
    <w:name w:val="normal"/>
    <w:basedOn w:val="Normal"/>
    <w:uiPriority w:val="99"/>
    <w:rsid w:val="00971A84"/>
    <w:pPr>
      <w:spacing w:before="100" w:beforeAutospacing="1" w:after="100" w:afterAutospacing="1"/>
    </w:pPr>
    <w:rPr>
      <w:rFonts w:ascii="Times New Roman" w:hAnsi="Times New Roman"/>
    </w:rPr>
  </w:style>
  <w:style w:type="character" w:customStyle="1" w:styleId="list0020paragraphchar">
    <w:name w:val="list_0020paragraph__char"/>
    <w:basedOn w:val="DefaultParagraphFont"/>
    <w:uiPriority w:val="99"/>
    <w:rsid w:val="00971A84"/>
    <w:rPr>
      <w:rFonts w:cs="Times New Roman"/>
    </w:rPr>
  </w:style>
  <w:style w:type="character" w:customStyle="1" w:styleId="normalchar">
    <w:name w:val="normal__char"/>
    <w:basedOn w:val="DefaultParagraphFont"/>
    <w:uiPriority w:val="99"/>
    <w:rsid w:val="00971A84"/>
    <w:rPr>
      <w:rFonts w:cs="Times New Roman"/>
    </w:rPr>
  </w:style>
  <w:style w:type="table" w:styleId="TableGrid">
    <w:name w:val="Table Grid"/>
    <w:basedOn w:val="TableNormal"/>
    <w:uiPriority w:val="99"/>
    <w:rsid w:val="00DF7D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95A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73F5"/>
    <w:rPr>
      <w:rFonts w:cs="Times New Roman"/>
      <w:sz w:val="2"/>
    </w:rPr>
  </w:style>
  <w:style w:type="character" w:styleId="Hyperlink">
    <w:name w:val="Hyperlink"/>
    <w:basedOn w:val="DefaultParagraphFont"/>
    <w:uiPriority w:val="99"/>
    <w:rsid w:val="00310CB2"/>
    <w:rPr>
      <w:rFonts w:cs="Times New Roman"/>
      <w:color w:val="0000FF"/>
      <w:u w:val="single"/>
    </w:rPr>
  </w:style>
  <w:style w:type="character" w:customStyle="1" w:styleId="BodyTextChar">
    <w:name w:val="Body Text Char"/>
    <w:uiPriority w:val="99"/>
    <w:locked/>
    <w:rsid w:val="00EB1100"/>
    <w:rPr>
      <w:rFonts w:ascii="Arial" w:hAnsi="Arial"/>
      <w:sz w:val="22"/>
      <w:lang w:val="en-GB" w:eastAsia="en-US"/>
    </w:rPr>
  </w:style>
  <w:style w:type="paragraph" w:styleId="BodyText">
    <w:name w:val="Body Text"/>
    <w:basedOn w:val="Normal"/>
    <w:link w:val="BodyTextChar1"/>
    <w:uiPriority w:val="99"/>
    <w:rsid w:val="00EB1100"/>
    <w:pPr>
      <w:spacing w:before="120" w:after="120" w:line="264" w:lineRule="auto"/>
    </w:pPr>
    <w:rPr>
      <w:rFonts w:cs="Arial"/>
      <w:sz w:val="22"/>
      <w:szCs w:val="22"/>
      <w:lang w:eastAsia="en-US"/>
    </w:rPr>
  </w:style>
  <w:style w:type="character" w:customStyle="1" w:styleId="BodyTextChar1">
    <w:name w:val="Body Text Char1"/>
    <w:basedOn w:val="DefaultParagraphFont"/>
    <w:link w:val="BodyText"/>
    <w:uiPriority w:val="99"/>
    <w:semiHidden/>
    <w:locked/>
    <w:rsid w:val="004873F5"/>
    <w:rPr>
      <w:rFonts w:ascii="Arial" w:hAnsi="Arial" w:cs="Times New Roman"/>
      <w:sz w:val="24"/>
      <w:szCs w:val="24"/>
    </w:rPr>
  </w:style>
  <w:style w:type="character" w:styleId="CommentReference">
    <w:name w:val="annotation reference"/>
    <w:basedOn w:val="DefaultParagraphFont"/>
    <w:uiPriority w:val="99"/>
    <w:rsid w:val="00D22C71"/>
    <w:rPr>
      <w:rFonts w:cs="Times New Roman"/>
      <w:sz w:val="16"/>
      <w:szCs w:val="16"/>
    </w:rPr>
  </w:style>
  <w:style w:type="paragraph" w:styleId="CommentText">
    <w:name w:val="annotation text"/>
    <w:basedOn w:val="Normal"/>
    <w:link w:val="CommentTextChar"/>
    <w:uiPriority w:val="99"/>
    <w:rsid w:val="00D22C71"/>
    <w:rPr>
      <w:sz w:val="20"/>
      <w:szCs w:val="20"/>
    </w:rPr>
  </w:style>
  <w:style w:type="character" w:customStyle="1" w:styleId="CommentTextChar">
    <w:name w:val="Comment Text Char"/>
    <w:basedOn w:val="DefaultParagraphFont"/>
    <w:link w:val="CommentText"/>
    <w:uiPriority w:val="99"/>
    <w:locked/>
    <w:rsid w:val="00D22C71"/>
    <w:rPr>
      <w:rFonts w:ascii="Arial" w:hAnsi="Arial" w:cs="Times New Roman"/>
    </w:rPr>
  </w:style>
  <w:style w:type="paragraph" w:styleId="CommentSubject">
    <w:name w:val="annotation subject"/>
    <w:basedOn w:val="CommentText"/>
    <w:next w:val="CommentText"/>
    <w:link w:val="CommentSubjectChar"/>
    <w:uiPriority w:val="99"/>
    <w:rsid w:val="00D22C71"/>
    <w:rPr>
      <w:b/>
      <w:bCs/>
    </w:rPr>
  </w:style>
  <w:style w:type="character" w:customStyle="1" w:styleId="CommentSubjectChar">
    <w:name w:val="Comment Subject Char"/>
    <w:basedOn w:val="CommentTextChar"/>
    <w:link w:val="CommentSubject"/>
    <w:uiPriority w:val="99"/>
    <w:locked/>
    <w:rsid w:val="00D22C71"/>
    <w:rPr>
      <w:b/>
      <w:bCs/>
    </w:rPr>
  </w:style>
  <w:style w:type="character" w:customStyle="1" w:styleId="citation">
    <w:name w:val="citation"/>
    <w:basedOn w:val="DefaultParagraphFont"/>
    <w:uiPriority w:val="99"/>
    <w:rsid w:val="00BF1A64"/>
    <w:rPr>
      <w:rFonts w:cs="Times New Roman"/>
    </w:rPr>
  </w:style>
</w:styles>
</file>

<file path=word/webSettings.xml><?xml version="1.0" encoding="utf-8"?>
<w:webSettings xmlns:r="http://schemas.openxmlformats.org/officeDocument/2006/relationships" xmlns:w="http://schemas.openxmlformats.org/wordprocessingml/2006/main">
  <w:divs>
    <w:div w:id="1617905573">
      <w:marLeft w:val="0"/>
      <w:marRight w:val="0"/>
      <w:marTop w:val="0"/>
      <w:marBottom w:val="0"/>
      <w:divBdr>
        <w:top w:val="none" w:sz="0" w:space="0" w:color="auto"/>
        <w:left w:val="none" w:sz="0" w:space="0" w:color="auto"/>
        <w:bottom w:val="none" w:sz="0" w:space="0" w:color="auto"/>
        <w:right w:val="none" w:sz="0" w:space="0" w:color="auto"/>
      </w:divBdr>
      <w:divsChild>
        <w:div w:id="1617905574">
          <w:marLeft w:val="0"/>
          <w:marRight w:val="0"/>
          <w:marTop w:val="0"/>
          <w:marBottom w:val="0"/>
          <w:divBdr>
            <w:top w:val="none" w:sz="0" w:space="0" w:color="auto"/>
            <w:left w:val="none" w:sz="0" w:space="0" w:color="auto"/>
            <w:bottom w:val="none" w:sz="0" w:space="0" w:color="auto"/>
            <w:right w:val="none" w:sz="0" w:space="0" w:color="auto"/>
          </w:divBdr>
        </w:div>
        <w:div w:id="1617905654">
          <w:marLeft w:val="0"/>
          <w:marRight w:val="0"/>
          <w:marTop w:val="0"/>
          <w:marBottom w:val="0"/>
          <w:divBdr>
            <w:top w:val="none" w:sz="0" w:space="0" w:color="auto"/>
            <w:left w:val="none" w:sz="0" w:space="0" w:color="auto"/>
            <w:bottom w:val="none" w:sz="0" w:space="0" w:color="auto"/>
            <w:right w:val="none" w:sz="0" w:space="0" w:color="auto"/>
          </w:divBdr>
        </w:div>
      </w:divsChild>
    </w:div>
    <w:div w:id="1617905576">
      <w:marLeft w:val="0"/>
      <w:marRight w:val="0"/>
      <w:marTop w:val="0"/>
      <w:marBottom w:val="0"/>
      <w:divBdr>
        <w:top w:val="none" w:sz="0" w:space="0" w:color="auto"/>
        <w:left w:val="none" w:sz="0" w:space="0" w:color="auto"/>
        <w:bottom w:val="none" w:sz="0" w:space="0" w:color="auto"/>
        <w:right w:val="none" w:sz="0" w:space="0" w:color="auto"/>
      </w:divBdr>
      <w:divsChild>
        <w:div w:id="1617905703">
          <w:marLeft w:val="0"/>
          <w:marRight w:val="0"/>
          <w:marTop w:val="0"/>
          <w:marBottom w:val="0"/>
          <w:divBdr>
            <w:top w:val="none" w:sz="0" w:space="0" w:color="auto"/>
            <w:left w:val="none" w:sz="0" w:space="0" w:color="auto"/>
            <w:bottom w:val="none" w:sz="0" w:space="0" w:color="auto"/>
            <w:right w:val="none" w:sz="0" w:space="0" w:color="auto"/>
          </w:divBdr>
        </w:div>
      </w:divsChild>
    </w:div>
    <w:div w:id="1617905588">
      <w:marLeft w:val="0"/>
      <w:marRight w:val="0"/>
      <w:marTop w:val="0"/>
      <w:marBottom w:val="0"/>
      <w:divBdr>
        <w:top w:val="none" w:sz="0" w:space="0" w:color="auto"/>
        <w:left w:val="none" w:sz="0" w:space="0" w:color="auto"/>
        <w:bottom w:val="none" w:sz="0" w:space="0" w:color="auto"/>
        <w:right w:val="none" w:sz="0" w:space="0" w:color="auto"/>
      </w:divBdr>
      <w:divsChild>
        <w:div w:id="1617905690">
          <w:marLeft w:val="0"/>
          <w:marRight w:val="0"/>
          <w:marTop w:val="0"/>
          <w:marBottom w:val="0"/>
          <w:divBdr>
            <w:top w:val="none" w:sz="0" w:space="0" w:color="auto"/>
            <w:left w:val="none" w:sz="0" w:space="0" w:color="auto"/>
            <w:bottom w:val="none" w:sz="0" w:space="0" w:color="auto"/>
            <w:right w:val="none" w:sz="0" w:space="0" w:color="auto"/>
          </w:divBdr>
        </w:div>
      </w:divsChild>
    </w:div>
    <w:div w:id="1617905592">
      <w:marLeft w:val="0"/>
      <w:marRight w:val="0"/>
      <w:marTop w:val="0"/>
      <w:marBottom w:val="0"/>
      <w:divBdr>
        <w:top w:val="none" w:sz="0" w:space="0" w:color="auto"/>
        <w:left w:val="none" w:sz="0" w:space="0" w:color="auto"/>
        <w:bottom w:val="none" w:sz="0" w:space="0" w:color="auto"/>
        <w:right w:val="none" w:sz="0" w:space="0" w:color="auto"/>
      </w:divBdr>
      <w:divsChild>
        <w:div w:id="1617905612">
          <w:marLeft w:val="0"/>
          <w:marRight w:val="0"/>
          <w:marTop w:val="0"/>
          <w:marBottom w:val="0"/>
          <w:divBdr>
            <w:top w:val="none" w:sz="0" w:space="0" w:color="auto"/>
            <w:left w:val="none" w:sz="0" w:space="0" w:color="auto"/>
            <w:bottom w:val="none" w:sz="0" w:space="0" w:color="auto"/>
            <w:right w:val="none" w:sz="0" w:space="0" w:color="auto"/>
          </w:divBdr>
          <w:divsChild>
            <w:div w:id="1617905583">
              <w:marLeft w:val="0"/>
              <w:marRight w:val="0"/>
              <w:marTop w:val="0"/>
              <w:marBottom w:val="0"/>
              <w:divBdr>
                <w:top w:val="none" w:sz="0" w:space="0" w:color="auto"/>
                <w:left w:val="none" w:sz="0" w:space="0" w:color="auto"/>
                <w:bottom w:val="none" w:sz="0" w:space="0" w:color="auto"/>
                <w:right w:val="none" w:sz="0" w:space="0" w:color="auto"/>
              </w:divBdr>
            </w:div>
            <w:div w:id="1617905604">
              <w:marLeft w:val="0"/>
              <w:marRight w:val="0"/>
              <w:marTop w:val="0"/>
              <w:marBottom w:val="0"/>
              <w:divBdr>
                <w:top w:val="none" w:sz="0" w:space="0" w:color="auto"/>
                <w:left w:val="none" w:sz="0" w:space="0" w:color="auto"/>
                <w:bottom w:val="none" w:sz="0" w:space="0" w:color="auto"/>
                <w:right w:val="none" w:sz="0" w:space="0" w:color="auto"/>
              </w:divBdr>
            </w:div>
            <w:div w:id="1617905609">
              <w:marLeft w:val="0"/>
              <w:marRight w:val="0"/>
              <w:marTop w:val="0"/>
              <w:marBottom w:val="0"/>
              <w:divBdr>
                <w:top w:val="none" w:sz="0" w:space="0" w:color="auto"/>
                <w:left w:val="none" w:sz="0" w:space="0" w:color="auto"/>
                <w:bottom w:val="none" w:sz="0" w:space="0" w:color="auto"/>
                <w:right w:val="none" w:sz="0" w:space="0" w:color="auto"/>
              </w:divBdr>
            </w:div>
            <w:div w:id="1617905621">
              <w:marLeft w:val="0"/>
              <w:marRight w:val="0"/>
              <w:marTop w:val="0"/>
              <w:marBottom w:val="0"/>
              <w:divBdr>
                <w:top w:val="none" w:sz="0" w:space="0" w:color="auto"/>
                <w:left w:val="none" w:sz="0" w:space="0" w:color="auto"/>
                <w:bottom w:val="none" w:sz="0" w:space="0" w:color="auto"/>
                <w:right w:val="none" w:sz="0" w:space="0" w:color="auto"/>
              </w:divBdr>
            </w:div>
            <w:div w:id="1617905623">
              <w:marLeft w:val="0"/>
              <w:marRight w:val="0"/>
              <w:marTop w:val="0"/>
              <w:marBottom w:val="0"/>
              <w:divBdr>
                <w:top w:val="none" w:sz="0" w:space="0" w:color="auto"/>
                <w:left w:val="none" w:sz="0" w:space="0" w:color="auto"/>
                <w:bottom w:val="none" w:sz="0" w:space="0" w:color="auto"/>
                <w:right w:val="none" w:sz="0" w:space="0" w:color="auto"/>
              </w:divBdr>
            </w:div>
            <w:div w:id="16179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5596">
      <w:marLeft w:val="0"/>
      <w:marRight w:val="0"/>
      <w:marTop w:val="0"/>
      <w:marBottom w:val="0"/>
      <w:divBdr>
        <w:top w:val="none" w:sz="0" w:space="0" w:color="auto"/>
        <w:left w:val="none" w:sz="0" w:space="0" w:color="auto"/>
        <w:bottom w:val="none" w:sz="0" w:space="0" w:color="auto"/>
        <w:right w:val="none" w:sz="0" w:space="0" w:color="auto"/>
      </w:divBdr>
      <w:divsChild>
        <w:div w:id="1617905670">
          <w:marLeft w:val="0"/>
          <w:marRight w:val="0"/>
          <w:marTop w:val="0"/>
          <w:marBottom w:val="0"/>
          <w:divBdr>
            <w:top w:val="none" w:sz="0" w:space="0" w:color="auto"/>
            <w:left w:val="none" w:sz="0" w:space="0" w:color="auto"/>
            <w:bottom w:val="none" w:sz="0" w:space="0" w:color="auto"/>
            <w:right w:val="none" w:sz="0" w:space="0" w:color="auto"/>
          </w:divBdr>
        </w:div>
        <w:div w:id="1617905685">
          <w:marLeft w:val="0"/>
          <w:marRight w:val="0"/>
          <w:marTop w:val="0"/>
          <w:marBottom w:val="0"/>
          <w:divBdr>
            <w:top w:val="none" w:sz="0" w:space="0" w:color="auto"/>
            <w:left w:val="none" w:sz="0" w:space="0" w:color="auto"/>
            <w:bottom w:val="none" w:sz="0" w:space="0" w:color="auto"/>
            <w:right w:val="none" w:sz="0" w:space="0" w:color="auto"/>
          </w:divBdr>
        </w:div>
      </w:divsChild>
    </w:div>
    <w:div w:id="1617905614">
      <w:marLeft w:val="0"/>
      <w:marRight w:val="0"/>
      <w:marTop w:val="0"/>
      <w:marBottom w:val="0"/>
      <w:divBdr>
        <w:top w:val="none" w:sz="0" w:space="0" w:color="auto"/>
        <w:left w:val="none" w:sz="0" w:space="0" w:color="auto"/>
        <w:bottom w:val="none" w:sz="0" w:space="0" w:color="auto"/>
        <w:right w:val="none" w:sz="0" w:space="0" w:color="auto"/>
      </w:divBdr>
      <w:divsChild>
        <w:div w:id="1617905572">
          <w:marLeft w:val="0"/>
          <w:marRight w:val="0"/>
          <w:marTop w:val="0"/>
          <w:marBottom w:val="0"/>
          <w:divBdr>
            <w:top w:val="none" w:sz="0" w:space="0" w:color="auto"/>
            <w:left w:val="none" w:sz="0" w:space="0" w:color="auto"/>
            <w:bottom w:val="none" w:sz="0" w:space="0" w:color="auto"/>
            <w:right w:val="none" w:sz="0" w:space="0" w:color="auto"/>
          </w:divBdr>
        </w:div>
        <w:div w:id="1617905580">
          <w:marLeft w:val="0"/>
          <w:marRight w:val="0"/>
          <w:marTop w:val="0"/>
          <w:marBottom w:val="0"/>
          <w:divBdr>
            <w:top w:val="none" w:sz="0" w:space="0" w:color="auto"/>
            <w:left w:val="none" w:sz="0" w:space="0" w:color="auto"/>
            <w:bottom w:val="none" w:sz="0" w:space="0" w:color="auto"/>
            <w:right w:val="none" w:sz="0" w:space="0" w:color="auto"/>
          </w:divBdr>
        </w:div>
        <w:div w:id="1617905586">
          <w:marLeft w:val="0"/>
          <w:marRight w:val="0"/>
          <w:marTop w:val="0"/>
          <w:marBottom w:val="0"/>
          <w:divBdr>
            <w:top w:val="none" w:sz="0" w:space="0" w:color="auto"/>
            <w:left w:val="none" w:sz="0" w:space="0" w:color="auto"/>
            <w:bottom w:val="none" w:sz="0" w:space="0" w:color="auto"/>
            <w:right w:val="none" w:sz="0" w:space="0" w:color="auto"/>
          </w:divBdr>
        </w:div>
        <w:div w:id="1617905593">
          <w:marLeft w:val="0"/>
          <w:marRight w:val="0"/>
          <w:marTop w:val="0"/>
          <w:marBottom w:val="0"/>
          <w:divBdr>
            <w:top w:val="none" w:sz="0" w:space="0" w:color="auto"/>
            <w:left w:val="none" w:sz="0" w:space="0" w:color="auto"/>
            <w:bottom w:val="none" w:sz="0" w:space="0" w:color="auto"/>
            <w:right w:val="none" w:sz="0" w:space="0" w:color="auto"/>
          </w:divBdr>
        </w:div>
        <w:div w:id="1617905595">
          <w:marLeft w:val="0"/>
          <w:marRight w:val="0"/>
          <w:marTop w:val="0"/>
          <w:marBottom w:val="0"/>
          <w:divBdr>
            <w:top w:val="none" w:sz="0" w:space="0" w:color="auto"/>
            <w:left w:val="none" w:sz="0" w:space="0" w:color="auto"/>
            <w:bottom w:val="none" w:sz="0" w:space="0" w:color="auto"/>
            <w:right w:val="none" w:sz="0" w:space="0" w:color="auto"/>
          </w:divBdr>
        </w:div>
        <w:div w:id="1617905605">
          <w:marLeft w:val="0"/>
          <w:marRight w:val="0"/>
          <w:marTop w:val="0"/>
          <w:marBottom w:val="0"/>
          <w:divBdr>
            <w:top w:val="none" w:sz="0" w:space="0" w:color="auto"/>
            <w:left w:val="none" w:sz="0" w:space="0" w:color="auto"/>
            <w:bottom w:val="none" w:sz="0" w:space="0" w:color="auto"/>
            <w:right w:val="none" w:sz="0" w:space="0" w:color="auto"/>
          </w:divBdr>
        </w:div>
        <w:div w:id="1617905608">
          <w:marLeft w:val="0"/>
          <w:marRight w:val="0"/>
          <w:marTop w:val="0"/>
          <w:marBottom w:val="0"/>
          <w:divBdr>
            <w:top w:val="none" w:sz="0" w:space="0" w:color="auto"/>
            <w:left w:val="none" w:sz="0" w:space="0" w:color="auto"/>
            <w:bottom w:val="none" w:sz="0" w:space="0" w:color="auto"/>
            <w:right w:val="none" w:sz="0" w:space="0" w:color="auto"/>
          </w:divBdr>
        </w:div>
        <w:div w:id="1617905616">
          <w:marLeft w:val="0"/>
          <w:marRight w:val="0"/>
          <w:marTop w:val="0"/>
          <w:marBottom w:val="0"/>
          <w:divBdr>
            <w:top w:val="none" w:sz="0" w:space="0" w:color="auto"/>
            <w:left w:val="none" w:sz="0" w:space="0" w:color="auto"/>
            <w:bottom w:val="none" w:sz="0" w:space="0" w:color="auto"/>
            <w:right w:val="none" w:sz="0" w:space="0" w:color="auto"/>
          </w:divBdr>
        </w:div>
        <w:div w:id="1617905619">
          <w:marLeft w:val="0"/>
          <w:marRight w:val="0"/>
          <w:marTop w:val="0"/>
          <w:marBottom w:val="0"/>
          <w:divBdr>
            <w:top w:val="none" w:sz="0" w:space="0" w:color="auto"/>
            <w:left w:val="none" w:sz="0" w:space="0" w:color="auto"/>
            <w:bottom w:val="none" w:sz="0" w:space="0" w:color="auto"/>
            <w:right w:val="none" w:sz="0" w:space="0" w:color="auto"/>
          </w:divBdr>
        </w:div>
        <w:div w:id="1617905622">
          <w:marLeft w:val="0"/>
          <w:marRight w:val="0"/>
          <w:marTop w:val="0"/>
          <w:marBottom w:val="0"/>
          <w:divBdr>
            <w:top w:val="none" w:sz="0" w:space="0" w:color="auto"/>
            <w:left w:val="none" w:sz="0" w:space="0" w:color="auto"/>
            <w:bottom w:val="none" w:sz="0" w:space="0" w:color="auto"/>
            <w:right w:val="none" w:sz="0" w:space="0" w:color="auto"/>
          </w:divBdr>
        </w:div>
        <w:div w:id="1617905627">
          <w:marLeft w:val="0"/>
          <w:marRight w:val="0"/>
          <w:marTop w:val="0"/>
          <w:marBottom w:val="0"/>
          <w:divBdr>
            <w:top w:val="none" w:sz="0" w:space="0" w:color="auto"/>
            <w:left w:val="none" w:sz="0" w:space="0" w:color="auto"/>
            <w:bottom w:val="none" w:sz="0" w:space="0" w:color="auto"/>
            <w:right w:val="none" w:sz="0" w:space="0" w:color="auto"/>
          </w:divBdr>
        </w:div>
        <w:div w:id="1617905628">
          <w:marLeft w:val="0"/>
          <w:marRight w:val="0"/>
          <w:marTop w:val="0"/>
          <w:marBottom w:val="0"/>
          <w:divBdr>
            <w:top w:val="none" w:sz="0" w:space="0" w:color="auto"/>
            <w:left w:val="none" w:sz="0" w:space="0" w:color="auto"/>
            <w:bottom w:val="none" w:sz="0" w:space="0" w:color="auto"/>
            <w:right w:val="none" w:sz="0" w:space="0" w:color="auto"/>
          </w:divBdr>
        </w:div>
        <w:div w:id="1617905630">
          <w:marLeft w:val="0"/>
          <w:marRight w:val="0"/>
          <w:marTop w:val="0"/>
          <w:marBottom w:val="0"/>
          <w:divBdr>
            <w:top w:val="none" w:sz="0" w:space="0" w:color="auto"/>
            <w:left w:val="none" w:sz="0" w:space="0" w:color="auto"/>
            <w:bottom w:val="none" w:sz="0" w:space="0" w:color="auto"/>
            <w:right w:val="none" w:sz="0" w:space="0" w:color="auto"/>
          </w:divBdr>
        </w:div>
        <w:div w:id="1617905636">
          <w:marLeft w:val="0"/>
          <w:marRight w:val="0"/>
          <w:marTop w:val="0"/>
          <w:marBottom w:val="0"/>
          <w:divBdr>
            <w:top w:val="none" w:sz="0" w:space="0" w:color="auto"/>
            <w:left w:val="none" w:sz="0" w:space="0" w:color="auto"/>
            <w:bottom w:val="none" w:sz="0" w:space="0" w:color="auto"/>
            <w:right w:val="none" w:sz="0" w:space="0" w:color="auto"/>
          </w:divBdr>
        </w:div>
        <w:div w:id="1617905647">
          <w:marLeft w:val="0"/>
          <w:marRight w:val="0"/>
          <w:marTop w:val="0"/>
          <w:marBottom w:val="0"/>
          <w:divBdr>
            <w:top w:val="none" w:sz="0" w:space="0" w:color="auto"/>
            <w:left w:val="none" w:sz="0" w:space="0" w:color="auto"/>
            <w:bottom w:val="none" w:sz="0" w:space="0" w:color="auto"/>
            <w:right w:val="none" w:sz="0" w:space="0" w:color="auto"/>
          </w:divBdr>
        </w:div>
        <w:div w:id="1617905656">
          <w:marLeft w:val="0"/>
          <w:marRight w:val="0"/>
          <w:marTop w:val="0"/>
          <w:marBottom w:val="0"/>
          <w:divBdr>
            <w:top w:val="none" w:sz="0" w:space="0" w:color="auto"/>
            <w:left w:val="none" w:sz="0" w:space="0" w:color="auto"/>
            <w:bottom w:val="none" w:sz="0" w:space="0" w:color="auto"/>
            <w:right w:val="none" w:sz="0" w:space="0" w:color="auto"/>
          </w:divBdr>
        </w:div>
        <w:div w:id="1617905658">
          <w:marLeft w:val="0"/>
          <w:marRight w:val="0"/>
          <w:marTop w:val="0"/>
          <w:marBottom w:val="0"/>
          <w:divBdr>
            <w:top w:val="none" w:sz="0" w:space="0" w:color="auto"/>
            <w:left w:val="none" w:sz="0" w:space="0" w:color="auto"/>
            <w:bottom w:val="none" w:sz="0" w:space="0" w:color="auto"/>
            <w:right w:val="none" w:sz="0" w:space="0" w:color="auto"/>
          </w:divBdr>
        </w:div>
        <w:div w:id="1617905664">
          <w:marLeft w:val="0"/>
          <w:marRight w:val="0"/>
          <w:marTop w:val="0"/>
          <w:marBottom w:val="0"/>
          <w:divBdr>
            <w:top w:val="none" w:sz="0" w:space="0" w:color="auto"/>
            <w:left w:val="none" w:sz="0" w:space="0" w:color="auto"/>
            <w:bottom w:val="none" w:sz="0" w:space="0" w:color="auto"/>
            <w:right w:val="none" w:sz="0" w:space="0" w:color="auto"/>
          </w:divBdr>
        </w:div>
        <w:div w:id="1617905675">
          <w:marLeft w:val="0"/>
          <w:marRight w:val="0"/>
          <w:marTop w:val="0"/>
          <w:marBottom w:val="0"/>
          <w:divBdr>
            <w:top w:val="none" w:sz="0" w:space="0" w:color="auto"/>
            <w:left w:val="none" w:sz="0" w:space="0" w:color="auto"/>
            <w:bottom w:val="none" w:sz="0" w:space="0" w:color="auto"/>
            <w:right w:val="none" w:sz="0" w:space="0" w:color="auto"/>
          </w:divBdr>
        </w:div>
        <w:div w:id="1617905677">
          <w:marLeft w:val="0"/>
          <w:marRight w:val="0"/>
          <w:marTop w:val="0"/>
          <w:marBottom w:val="0"/>
          <w:divBdr>
            <w:top w:val="none" w:sz="0" w:space="0" w:color="auto"/>
            <w:left w:val="none" w:sz="0" w:space="0" w:color="auto"/>
            <w:bottom w:val="none" w:sz="0" w:space="0" w:color="auto"/>
            <w:right w:val="none" w:sz="0" w:space="0" w:color="auto"/>
          </w:divBdr>
        </w:div>
        <w:div w:id="1617905679">
          <w:marLeft w:val="0"/>
          <w:marRight w:val="0"/>
          <w:marTop w:val="0"/>
          <w:marBottom w:val="0"/>
          <w:divBdr>
            <w:top w:val="none" w:sz="0" w:space="0" w:color="auto"/>
            <w:left w:val="none" w:sz="0" w:space="0" w:color="auto"/>
            <w:bottom w:val="none" w:sz="0" w:space="0" w:color="auto"/>
            <w:right w:val="none" w:sz="0" w:space="0" w:color="auto"/>
          </w:divBdr>
        </w:div>
        <w:div w:id="1617905689">
          <w:marLeft w:val="0"/>
          <w:marRight w:val="0"/>
          <w:marTop w:val="0"/>
          <w:marBottom w:val="0"/>
          <w:divBdr>
            <w:top w:val="none" w:sz="0" w:space="0" w:color="auto"/>
            <w:left w:val="none" w:sz="0" w:space="0" w:color="auto"/>
            <w:bottom w:val="none" w:sz="0" w:space="0" w:color="auto"/>
            <w:right w:val="none" w:sz="0" w:space="0" w:color="auto"/>
          </w:divBdr>
        </w:div>
        <w:div w:id="1617905692">
          <w:marLeft w:val="0"/>
          <w:marRight w:val="0"/>
          <w:marTop w:val="0"/>
          <w:marBottom w:val="0"/>
          <w:divBdr>
            <w:top w:val="none" w:sz="0" w:space="0" w:color="auto"/>
            <w:left w:val="none" w:sz="0" w:space="0" w:color="auto"/>
            <w:bottom w:val="none" w:sz="0" w:space="0" w:color="auto"/>
            <w:right w:val="none" w:sz="0" w:space="0" w:color="auto"/>
          </w:divBdr>
        </w:div>
        <w:div w:id="1617905696">
          <w:marLeft w:val="0"/>
          <w:marRight w:val="0"/>
          <w:marTop w:val="0"/>
          <w:marBottom w:val="0"/>
          <w:divBdr>
            <w:top w:val="none" w:sz="0" w:space="0" w:color="auto"/>
            <w:left w:val="none" w:sz="0" w:space="0" w:color="auto"/>
            <w:bottom w:val="none" w:sz="0" w:space="0" w:color="auto"/>
            <w:right w:val="none" w:sz="0" w:space="0" w:color="auto"/>
          </w:divBdr>
        </w:div>
        <w:div w:id="1617905698">
          <w:marLeft w:val="0"/>
          <w:marRight w:val="0"/>
          <w:marTop w:val="0"/>
          <w:marBottom w:val="0"/>
          <w:divBdr>
            <w:top w:val="none" w:sz="0" w:space="0" w:color="auto"/>
            <w:left w:val="none" w:sz="0" w:space="0" w:color="auto"/>
            <w:bottom w:val="none" w:sz="0" w:space="0" w:color="auto"/>
            <w:right w:val="none" w:sz="0" w:space="0" w:color="auto"/>
          </w:divBdr>
        </w:div>
        <w:div w:id="1617905701">
          <w:marLeft w:val="0"/>
          <w:marRight w:val="0"/>
          <w:marTop w:val="0"/>
          <w:marBottom w:val="0"/>
          <w:divBdr>
            <w:top w:val="none" w:sz="0" w:space="0" w:color="auto"/>
            <w:left w:val="none" w:sz="0" w:space="0" w:color="auto"/>
            <w:bottom w:val="none" w:sz="0" w:space="0" w:color="auto"/>
            <w:right w:val="none" w:sz="0" w:space="0" w:color="auto"/>
          </w:divBdr>
        </w:div>
        <w:div w:id="1617905704">
          <w:marLeft w:val="0"/>
          <w:marRight w:val="0"/>
          <w:marTop w:val="0"/>
          <w:marBottom w:val="0"/>
          <w:divBdr>
            <w:top w:val="none" w:sz="0" w:space="0" w:color="auto"/>
            <w:left w:val="none" w:sz="0" w:space="0" w:color="auto"/>
            <w:bottom w:val="none" w:sz="0" w:space="0" w:color="auto"/>
            <w:right w:val="none" w:sz="0" w:space="0" w:color="auto"/>
          </w:divBdr>
        </w:div>
        <w:div w:id="1617905705">
          <w:marLeft w:val="0"/>
          <w:marRight w:val="0"/>
          <w:marTop w:val="0"/>
          <w:marBottom w:val="0"/>
          <w:divBdr>
            <w:top w:val="none" w:sz="0" w:space="0" w:color="auto"/>
            <w:left w:val="none" w:sz="0" w:space="0" w:color="auto"/>
            <w:bottom w:val="none" w:sz="0" w:space="0" w:color="auto"/>
            <w:right w:val="none" w:sz="0" w:space="0" w:color="auto"/>
          </w:divBdr>
        </w:div>
        <w:div w:id="1617905717">
          <w:marLeft w:val="0"/>
          <w:marRight w:val="0"/>
          <w:marTop w:val="0"/>
          <w:marBottom w:val="0"/>
          <w:divBdr>
            <w:top w:val="none" w:sz="0" w:space="0" w:color="auto"/>
            <w:left w:val="none" w:sz="0" w:space="0" w:color="auto"/>
            <w:bottom w:val="none" w:sz="0" w:space="0" w:color="auto"/>
            <w:right w:val="none" w:sz="0" w:space="0" w:color="auto"/>
          </w:divBdr>
        </w:div>
      </w:divsChild>
    </w:div>
    <w:div w:id="1617905624">
      <w:marLeft w:val="0"/>
      <w:marRight w:val="0"/>
      <w:marTop w:val="0"/>
      <w:marBottom w:val="0"/>
      <w:divBdr>
        <w:top w:val="none" w:sz="0" w:space="0" w:color="auto"/>
        <w:left w:val="none" w:sz="0" w:space="0" w:color="auto"/>
        <w:bottom w:val="none" w:sz="0" w:space="0" w:color="auto"/>
        <w:right w:val="none" w:sz="0" w:space="0" w:color="auto"/>
      </w:divBdr>
      <w:divsChild>
        <w:div w:id="1617905673">
          <w:marLeft w:val="0"/>
          <w:marRight w:val="0"/>
          <w:marTop w:val="0"/>
          <w:marBottom w:val="0"/>
          <w:divBdr>
            <w:top w:val="none" w:sz="0" w:space="0" w:color="auto"/>
            <w:left w:val="none" w:sz="0" w:space="0" w:color="auto"/>
            <w:bottom w:val="none" w:sz="0" w:space="0" w:color="auto"/>
            <w:right w:val="none" w:sz="0" w:space="0" w:color="auto"/>
          </w:divBdr>
          <w:divsChild>
            <w:div w:id="1617905571">
              <w:marLeft w:val="0"/>
              <w:marRight w:val="0"/>
              <w:marTop w:val="0"/>
              <w:marBottom w:val="0"/>
              <w:divBdr>
                <w:top w:val="none" w:sz="0" w:space="0" w:color="auto"/>
                <w:left w:val="none" w:sz="0" w:space="0" w:color="auto"/>
                <w:bottom w:val="none" w:sz="0" w:space="0" w:color="auto"/>
                <w:right w:val="none" w:sz="0" w:space="0" w:color="auto"/>
              </w:divBdr>
            </w:div>
            <w:div w:id="1617905584">
              <w:marLeft w:val="0"/>
              <w:marRight w:val="0"/>
              <w:marTop w:val="0"/>
              <w:marBottom w:val="0"/>
              <w:divBdr>
                <w:top w:val="none" w:sz="0" w:space="0" w:color="auto"/>
                <w:left w:val="none" w:sz="0" w:space="0" w:color="auto"/>
                <w:bottom w:val="none" w:sz="0" w:space="0" w:color="auto"/>
                <w:right w:val="none" w:sz="0" w:space="0" w:color="auto"/>
              </w:divBdr>
            </w:div>
            <w:div w:id="1617905585">
              <w:marLeft w:val="0"/>
              <w:marRight w:val="0"/>
              <w:marTop w:val="0"/>
              <w:marBottom w:val="0"/>
              <w:divBdr>
                <w:top w:val="none" w:sz="0" w:space="0" w:color="auto"/>
                <w:left w:val="none" w:sz="0" w:space="0" w:color="auto"/>
                <w:bottom w:val="none" w:sz="0" w:space="0" w:color="auto"/>
                <w:right w:val="none" w:sz="0" w:space="0" w:color="auto"/>
              </w:divBdr>
            </w:div>
            <w:div w:id="1617905590">
              <w:marLeft w:val="0"/>
              <w:marRight w:val="0"/>
              <w:marTop w:val="0"/>
              <w:marBottom w:val="0"/>
              <w:divBdr>
                <w:top w:val="none" w:sz="0" w:space="0" w:color="auto"/>
                <w:left w:val="none" w:sz="0" w:space="0" w:color="auto"/>
                <w:bottom w:val="none" w:sz="0" w:space="0" w:color="auto"/>
                <w:right w:val="none" w:sz="0" w:space="0" w:color="auto"/>
              </w:divBdr>
            </w:div>
            <w:div w:id="1617905594">
              <w:marLeft w:val="0"/>
              <w:marRight w:val="0"/>
              <w:marTop w:val="0"/>
              <w:marBottom w:val="0"/>
              <w:divBdr>
                <w:top w:val="none" w:sz="0" w:space="0" w:color="auto"/>
                <w:left w:val="none" w:sz="0" w:space="0" w:color="auto"/>
                <w:bottom w:val="none" w:sz="0" w:space="0" w:color="auto"/>
                <w:right w:val="none" w:sz="0" w:space="0" w:color="auto"/>
              </w:divBdr>
            </w:div>
            <w:div w:id="1617905597">
              <w:marLeft w:val="0"/>
              <w:marRight w:val="0"/>
              <w:marTop w:val="0"/>
              <w:marBottom w:val="0"/>
              <w:divBdr>
                <w:top w:val="none" w:sz="0" w:space="0" w:color="auto"/>
                <w:left w:val="none" w:sz="0" w:space="0" w:color="auto"/>
                <w:bottom w:val="none" w:sz="0" w:space="0" w:color="auto"/>
                <w:right w:val="none" w:sz="0" w:space="0" w:color="auto"/>
              </w:divBdr>
            </w:div>
            <w:div w:id="1617905610">
              <w:marLeft w:val="0"/>
              <w:marRight w:val="0"/>
              <w:marTop w:val="0"/>
              <w:marBottom w:val="0"/>
              <w:divBdr>
                <w:top w:val="none" w:sz="0" w:space="0" w:color="auto"/>
                <w:left w:val="none" w:sz="0" w:space="0" w:color="auto"/>
                <w:bottom w:val="none" w:sz="0" w:space="0" w:color="auto"/>
                <w:right w:val="none" w:sz="0" w:space="0" w:color="auto"/>
              </w:divBdr>
            </w:div>
            <w:div w:id="1617905611">
              <w:marLeft w:val="0"/>
              <w:marRight w:val="0"/>
              <w:marTop w:val="0"/>
              <w:marBottom w:val="0"/>
              <w:divBdr>
                <w:top w:val="none" w:sz="0" w:space="0" w:color="auto"/>
                <w:left w:val="none" w:sz="0" w:space="0" w:color="auto"/>
                <w:bottom w:val="none" w:sz="0" w:space="0" w:color="auto"/>
                <w:right w:val="none" w:sz="0" w:space="0" w:color="auto"/>
              </w:divBdr>
            </w:div>
            <w:div w:id="1617905625">
              <w:marLeft w:val="0"/>
              <w:marRight w:val="0"/>
              <w:marTop w:val="0"/>
              <w:marBottom w:val="0"/>
              <w:divBdr>
                <w:top w:val="none" w:sz="0" w:space="0" w:color="auto"/>
                <w:left w:val="none" w:sz="0" w:space="0" w:color="auto"/>
                <w:bottom w:val="none" w:sz="0" w:space="0" w:color="auto"/>
                <w:right w:val="none" w:sz="0" w:space="0" w:color="auto"/>
              </w:divBdr>
            </w:div>
            <w:div w:id="1617905626">
              <w:marLeft w:val="0"/>
              <w:marRight w:val="0"/>
              <w:marTop w:val="0"/>
              <w:marBottom w:val="0"/>
              <w:divBdr>
                <w:top w:val="none" w:sz="0" w:space="0" w:color="auto"/>
                <w:left w:val="none" w:sz="0" w:space="0" w:color="auto"/>
                <w:bottom w:val="none" w:sz="0" w:space="0" w:color="auto"/>
                <w:right w:val="none" w:sz="0" w:space="0" w:color="auto"/>
              </w:divBdr>
            </w:div>
            <w:div w:id="1617905633">
              <w:marLeft w:val="0"/>
              <w:marRight w:val="0"/>
              <w:marTop w:val="0"/>
              <w:marBottom w:val="0"/>
              <w:divBdr>
                <w:top w:val="none" w:sz="0" w:space="0" w:color="auto"/>
                <w:left w:val="none" w:sz="0" w:space="0" w:color="auto"/>
                <w:bottom w:val="none" w:sz="0" w:space="0" w:color="auto"/>
                <w:right w:val="none" w:sz="0" w:space="0" w:color="auto"/>
              </w:divBdr>
            </w:div>
            <w:div w:id="1617905650">
              <w:marLeft w:val="0"/>
              <w:marRight w:val="0"/>
              <w:marTop w:val="0"/>
              <w:marBottom w:val="0"/>
              <w:divBdr>
                <w:top w:val="none" w:sz="0" w:space="0" w:color="auto"/>
                <w:left w:val="none" w:sz="0" w:space="0" w:color="auto"/>
                <w:bottom w:val="none" w:sz="0" w:space="0" w:color="auto"/>
                <w:right w:val="none" w:sz="0" w:space="0" w:color="auto"/>
              </w:divBdr>
            </w:div>
            <w:div w:id="1617905652">
              <w:marLeft w:val="0"/>
              <w:marRight w:val="0"/>
              <w:marTop w:val="0"/>
              <w:marBottom w:val="0"/>
              <w:divBdr>
                <w:top w:val="none" w:sz="0" w:space="0" w:color="auto"/>
                <w:left w:val="none" w:sz="0" w:space="0" w:color="auto"/>
                <w:bottom w:val="none" w:sz="0" w:space="0" w:color="auto"/>
                <w:right w:val="none" w:sz="0" w:space="0" w:color="auto"/>
              </w:divBdr>
            </w:div>
            <w:div w:id="1617905653">
              <w:marLeft w:val="0"/>
              <w:marRight w:val="0"/>
              <w:marTop w:val="0"/>
              <w:marBottom w:val="0"/>
              <w:divBdr>
                <w:top w:val="none" w:sz="0" w:space="0" w:color="auto"/>
                <w:left w:val="none" w:sz="0" w:space="0" w:color="auto"/>
                <w:bottom w:val="none" w:sz="0" w:space="0" w:color="auto"/>
                <w:right w:val="none" w:sz="0" w:space="0" w:color="auto"/>
              </w:divBdr>
            </w:div>
            <w:div w:id="1617905655">
              <w:marLeft w:val="0"/>
              <w:marRight w:val="0"/>
              <w:marTop w:val="0"/>
              <w:marBottom w:val="0"/>
              <w:divBdr>
                <w:top w:val="none" w:sz="0" w:space="0" w:color="auto"/>
                <w:left w:val="none" w:sz="0" w:space="0" w:color="auto"/>
                <w:bottom w:val="none" w:sz="0" w:space="0" w:color="auto"/>
                <w:right w:val="none" w:sz="0" w:space="0" w:color="auto"/>
              </w:divBdr>
            </w:div>
            <w:div w:id="1617905661">
              <w:marLeft w:val="0"/>
              <w:marRight w:val="0"/>
              <w:marTop w:val="0"/>
              <w:marBottom w:val="0"/>
              <w:divBdr>
                <w:top w:val="none" w:sz="0" w:space="0" w:color="auto"/>
                <w:left w:val="none" w:sz="0" w:space="0" w:color="auto"/>
                <w:bottom w:val="none" w:sz="0" w:space="0" w:color="auto"/>
                <w:right w:val="none" w:sz="0" w:space="0" w:color="auto"/>
              </w:divBdr>
            </w:div>
            <w:div w:id="1617905663">
              <w:marLeft w:val="0"/>
              <w:marRight w:val="0"/>
              <w:marTop w:val="0"/>
              <w:marBottom w:val="0"/>
              <w:divBdr>
                <w:top w:val="none" w:sz="0" w:space="0" w:color="auto"/>
                <w:left w:val="none" w:sz="0" w:space="0" w:color="auto"/>
                <w:bottom w:val="none" w:sz="0" w:space="0" w:color="auto"/>
                <w:right w:val="none" w:sz="0" w:space="0" w:color="auto"/>
              </w:divBdr>
            </w:div>
            <w:div w:id="1617905668">
              <w:marLeft w:val="0"/>
              <w:marRight w:val="0"/>
              <w:marTop w:val="0"/>
              <w:marBottom w:val="0"/>
              <w:divBdr>
                <w:top w:val="none" w:sz="0" w:space="0" w:color="auto"/>
                <w:left w:val="none" w:sz="0" w:space="0" w:color="auto"/>
                <w:bottom w:val="none" w:sz="0" w:space="0" w:color="auto"/>
                <w:right w:val="none" w:sz="0" w:space="0" w:color="auto"/>
              </w:divBdr>
            </w:div>
            <w:div w:id="1617905674">
              <w:marLeft w:val="0"/>
              <w:marRight w:val="0"/>
              <w:marTop w:val="0"/>
              <w:marBottom w:val="0"/>
              <w:divBdr>
                <w:top w:val="none" w:sz="0" w:space="0" w:color="auto"/>
                <w:left w:val="none" w:sz="0" w:space="0" w:color="auto"/>
                <w:bottom w:val="none" w:sz="0" w:space="0" w:color="auto"/>
                <w:right w:val="none" w:sz="0" w:space="0" w:color="auto"/>
              </w:divBdr>
            </w:div>
            <w:div w:id="1617905684">
              <w:marLeft w:val="0"/>
              <w:marRight w:val="0"/>
              <w:marTop w:val="0"/>
              <w:marBottom w:val="0"/>
              <w:divBdr>
                <w:top w:val="none" w:sz="0" w:space="0" w:color="auto"/>
                <w:left w:val="none" w:sz="0" w:space="0" w:color="auto"/>
                <w:bottom w:val="none" w:sz="0" w:space="0" w:color="auto"/>
                <w:right w:val="none" w:sz="0" w:space="0" w:color="auto"/>
              </w:divBdr>
            </w:div>
            <w:div w:id="1617905691">
              <w:marLeft w:val="0"/>
              <w:marRight w:val="0"/>
              <w:marTop w:val="0"/>
              <w:marBottom w:val="0"/>
              <w:divBdr>
                <w:top w:val="none" w:sz="0" w:space="0" w:color="auto"/>
                <w:left w:val="none" w:sz="0" w:space="0" w:color="auto"/>
                <w:bottom w:val="none" w:sz="0" w:space="0" w:color="auto"/>
                <w:right w:val="none" w:sz="0" w:space="0" w:color="auto"/>
              </w:divBdr>
            </w:div>
            <w:div w:id="1617905695">
              <w:marLeft w:val="0"/>
              <w:marRight w:val="0"/>
              <w:marTop w:val="0"/>
              <w:marBottom w:val="0"/>
              <w:divBdr>
                <w:top w:val="none" w:sz="0" w:space="0" w:color="auto"/>
                <w:left w:val="none" w:sz="0" w:space="0" w:color="auto"/>
                <w:bottom w:val="none" w:sz="0" w:space="0" w:color="auto"/>
                <w:right w:val="none" w:sz="0" w:space="0" w:color="auto"/>
              </w:divBdr>
            </w:div>
            <w:div w:id="1617905699">
              <w:marLeft w:val="0"/>
              <w:marRight w:val="0"/>
              <w:marTop w:val="0"/>
              <w:marBottom w:val="0"/>
              <w:divBdr>
                <w:top w:val="none" w:sz="0" w:space="0" w:color="auto"/>
                <w:left w:val="none" w:sz="0" w:space="0" w:color="auto"/>
                <w:bottom w:val="none" w:sz="0" w:space="0" w:color="auto"/>
                <w:right w:val="none" w:sz="0" w:space="0" w:color="auto"/>
              </w:divBdr>
            </w:div>
            <w:div w:id="1617905700">
              <w:marLeft w:val="0"/>
              <w:marRight w:val="0"/>
              <w:marTop w:val="0"/>
              <w:marBottom w:val="0"/>
              <w:divBdr>
                <w:top w:val="none" w:sz="0" w:space="0" w:color="auto"/>
                <w:left w:val="none" w:sz="0" w:space="0" w:color="auto"/>
                <w:bottom w:val="none" w:sz="0" w:space="0" w:color="auto"/>
                <w:right w:val="none" w:sz="0" w:space="0" w:color="auto"/>
              </w:divBdr>
            </w:div>
            <w:div w:id="1617905702">
              <w:marLeft w:val="0"/>
              <w:marRight w:val="0"/>
              <w:marTop w:val="0"/>
              <w:marBottom w:val="0"/>
              <w:divBdr>
                <w:top w:val="none" w:sz="0" w:space="0" w:color="auto"/>
                <w:left w:val="none" w:sz="0" w:space="0" w:color="auto"/>
                <w:bottom w:val="none" w:sz="0" w:space="0" w:color="auto"/>
                <w:right w:val="none" w:sz="0" w:space="0" w:color="auto"/>
              </w:divBdr>
            </w:div>
            <w:div w:id="1617905708">
              <w:marLeft w:val="0"/>
              <w:marRight w:val="0"/>
              <w:marTop w:val="0"/>
              <w:marBottom w:val="0"/>
              <w:divBdr>
                <w:top w:val="none" w:sz="0" w:space="0" w:color="auto"/>
                <w:left w:val="none" w:sz="0" w:space="0" w:color="auto"/>
                <w:bottom w:val="none" w:sz="0" w:space="0" w:color="auto"/>
                <w:right w:val="none" w:sz="0" w:space="0" w:color="auto"/>
              </w:divBdr>
            </w:div>
            <w:div w:id="16179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5629">
      <w:marLeft w:val="0"/>
      <w:marRight w:val="0"/>
      <w:marTop w:val="0"/>
      <w:marBottom w:val="0"/>
      <w:divBdr>
        <w:top w:val="none" w:sz="0" w:space="0" w:color="auto"/>
        <w:left w:val="none" w:sz="0" w:space="0" w:color="auto"/>
        <w:bottom w:val="none" w:sz="0" w:space="0" w:color="auto"/>
        <w:right w:val="none" w:sz="0" w:space="0" w:color="auto"/>
      </w:divBdr>
      <w:divsChild>
        <w:div w:id="1617905581">
          <w:marLeft w:val="0"/>
          <w:marRight w:val="0"/>
          <w:marTop w:val="0"/>
          <w:marBottom w:val="0"/>
          <w:divBdr>
            <w:top w:val="none" w:sz="0" w:space="0" w:color="auto"/>
            <w:left w:val="none" w:sz="0" w:space="0" w:color="auto"/>
            <w:bottom w:val="none" w:sz="0" w:space="0" w:color="auto"/>
            <w:right w:val="none" w:sz="0" w:space="0" w:color="auto"/>
          </w:divBdr>
          <w:divsChild>
            <w:div w:id="1617905577">
              <w:marLeft w:val="0"/>
              <w:marRight w:val="0"/>
              <w:marTop w:val="0"/>
              <w:marBottom w:val="0"/>
              <w:divBdr>
                <w:top w:val="none" w:sz="0" w:space="0" w:color="auto"/>
                <w:left w:val="none" w:sz="0" w:space="0" w:color="auto"/>
                <w:bottom w:val="none" w:sz="0" w:space="0" w:color="auto"/>
                <w:right w:val="none" w:sz="0" w:space="0" w:color="auto"/>
              </w:divBdr>
            </w:div>
            <w:div w:id="1617905587">
              <w:marLeft w:val="0"/>
              <w:marRight w:val="0"/>
              <w:marTop w:val="0"/>
              <w:marBottom w:val="0"/>
              <w:divBdr>
                <w:top w:val="none" w:sz="0" w:space="0" w:color="auto"/>
                <w:left w:val="none" w:sz="0" w:space="0" w:color="auto"/>
                <w:bottom w:val="none" w:sz="0" w:space="0" w:color="auto"/>
                <w:right w:val="none" w:sz="0" w:space="0" w:color="auto"/>
              </w:divBdr>
            </w:div>
            <w:div w:id="1617905651">
              <w:marLeft w:val="0"/>
              <w:marRight w:val="0"/>
              <w:marTop w:val="0"/>
              <w:marBottom w:val="0"/>
              <w:divBdr>
                <w:top w:val="none" w:sz="0" w:space="0" w:color="auto"/>
                <w:left w:val="none" w:sz="0" w:space="0" w:color="auto"/>
                <w:bottom w:val="none" w:sz="0" w:space="0" w:color="auto"/>
                <w:right w:val="none" w:sz="0" w:space="0" w:color="auto"/>
              </w:divBdr>
            </w:div>
            <w:div w:id="1617905678">
              <w:marLeft w:val="0"/>
              <w:marRight w:val="0"/>
              <w:marTop w:val="0"/>
              <w:marBottom w:val="0"/>
              <w:divBdr>
                <w:top w:val="none" w:sz="0" w:space="0" w:color="auto"/>
                <w:left w:val="none" w:sz="0" w:space="0" w:color="auto"/>
                <w:bottom w:val="none" w:sz="0" w:space="0" w:color="auto"/>
                <w:right w:val="none" w:sz="0" w:space="0" w:color="auto"/>
              </w:divBdr>
            </w:div>
            <w:div w:id="1617905711">
              <w:marLeft w:val="0"/>
              <w:marRight w:val="0"/>
              <w:marTop w:val="0"/>
              <w:marBottom w:val="0"/>
              <w:divBdr>
                <w:top w:val="none" w:sz="0" w:space="0" w:color="auto"/>
                <w:left w:val="none" w:sz="0" w:space="0" w:color="auto"/>
                <w:bottom w:val="none" w:sz="0" w:space="0" w:color="auto"/>
                <w:right w:val="none" w:sz="0" w:space="0" w:color="auto"/>
              </w:divBdr>
            </w:div>
            <w:div w:id="16179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5631">
      <w:marLeft w:val="0"/>
      <w:marRight w:val="0"/>
      <w:marTop w:val="0"/>
      <w:marBottom w:val="0"/>
      <w:divBdr>
        <w:top w:val="none" w:sz="0" w:space="0" w:color="auto"/>
        <w:left w:val="none" w:sz="0" w:space="0" w:color="auto"/>
        <w:bottom w:val="none" w:sz="0" w:space="0" w:color="auto"/>
        <w:right w:val="none" w:sz="0" w:space="0" w:color="auto"/>
      </w:divBdr>
      <w:divsChild>
        <w:div w:id="1617905601">
          <w:marLeft w:val="0"/>
          <w:marRight w:val="0"/>
          <w:marTop w:val="0"/>
          <w:marBottom w:val="0"/>
          <w:divBdr>
            <w:top w:val="none" w:sz="0" w:space="0" w:color="auto"/>
            <w:left w:val="none" w:sz="0" w:space="0" w:color="auto"/>
            <w:bottom w:val="none" w:sz="0" w:space="0" w:color="auto"/>
            <w:right w:val="none" w:sz="0" w:space="0" w:color="auto"/>
          </w:divBdr>
          <w:divsChild>
            <w:div w:id="1617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5637">
      <w:marLeft w:val="0"/>
      <w:marRight w:val="0"/>
      <w:marTop w:val="0"/>
      <w:marBottom w:val="0"/>
      <w:divBdr>
        <w:top w:val="none" w:sz="0" w:space="0" w:color="auto"/>
        <w:left w:val="none" w:sz="0" w:space="0" w:color="auto"/>
        <w:bottom w:val="none" w:sz="0" w:space="0" w:color="auto"/>
        <w:right w:val="none" w:sz="0" w:space="0" w:color="auto"/>
      </w:divBdr>
      <w:divsChild>
        <w:div w:id="1617905575">
          <w:marLeft w:val="0"/>
          <w:marRight w:val="0"/>
          <w:marTop w:val="0"/>
          <w:marBottom w:val="0"/>
          <w:divBdr>
            <w:top w:val="none" w:sz="0" w:space="0" w:color="auto"/>
            <w:left w:val="none" w:sz="0" w:space="0" w:color="auto"/>
            <w:bottom w:val="none" w:sz="0" w:space="0" w:color="auto"/>
            <w:right w:val="none" w:sz="0" w:space="0" w:color="auto"/>
          </w:divBdr>
          <w:divsChild>
            <w:div w:id="1617905659">
              <w:marLeft w:val="0"/>
              <w:marRight w:val="0"/>
              <w:marTop w:val="0"/>
              <w:marBottom w:val="0"/>
              <w:divBdr>
                <w:top w:val="none" w:sz="0" w:space="0" w:color="auto"/>
                <w:left w:val="none" w:sz="0" w:space="0" w:color="auto"/>
                <w:bottom w:val="none" w:sz="0" w:space="0" w:color="auto"/>
                <w:right w:val="none" w:sz="0" w:space="0" w:color="auto"/>
              </w:divBdr>
              <w:divsChild>
                <w:div w:id="1617905589">
                  <w:marLeft w:val="0"/>
                  <w:marRight w:val="-6084"/>
                  <w:marTop w:val="0"/>
                  <w:marBottom w:val="0"/>
                  <w:divBdr>
                    <w:top w:val="none" w:sz="0" w:space="0" w:color="auto"/>
                    <w:left w:val="none" w:sz="0" w:space="0" w:color="auto"/>
                    <w:bottom w:val="none" w:sz="0" w:space="0" w:color="auto"/>
                    <w:right w:val="none" w:sz="0" w:space="0" w:color="auto"/>
                  </w:divBdr>
                  <w:divsChild>
                    <w:div w:id="1617905618">
                      <w:marLeft w:val="0"/>
                      <w:marRight w:val="5604"/>
                      <w:marTop w:val="0"/>
                      <w:marBottom w:val="0"/>
                      <w:divBdr>
                        <w:top w:val="none" w:sz="0" w:space="0" w:color="auto"/>
                        <w:left w:val="none" w:sz="0" w:space="0" w:color="auto"/>
                        <w:bottom w:val="none" w:sz="0" w:space="0" w:color="auto"/>
                        <w:right w:val="none" w:sz="0" w:space="0" w:color="auto"/>
                      </w:divBdr>
                      <w:divsChild>
                        <w:div w:id="1617905657">
                          <w:marLeft w:val="0"/>
                          <w:marRight w:val="0"/>
                          <w:marTop w:val="0"/>
                          <w:marBottom w:val="0"/>
                          <w:divBdr>
                            <w:top w:val="none" w:sz="0" w:space="0" w:color="auto"/>
                            <w:left w:val="none" w:sz="0" w:space="0" w:color="auto"/>
                            <w:bottom w:val="none" w:sz="0" w:space="0" w:color="auto"/>
                            <w:right w:val="none" w:sz="0" w:space="0" w:color="auto"/>
                          </w:divBdr>
                          <w:divsChild>
                            <w:div w:id="16179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905646">
      <w:marLeft w:val="0"/>
      <w:marRight w:val="0"/>
      <w:marTop w:val="0"/>
      <w:marBottom w:val="0"/>
      <w:divBdr>
        <w:top w:val="none" w:sz="0" w:space="0" w:color="auto"/>
        <w:left w:val="none" w:sz="0" w:space="0" w:color="auto"/>
        <w:bottom w:val="none" w:sz="0" w:space="0" w:color="auto"/>
        <w:right w:val="none" w:sz="0" w:space="0" w:color="auto"/>
      </w:divBdr>
      <w:divsChild>
        <w:div w:id="1617905578">
          <w:marLeft w:val="0"/>
          <w:marRight w:val="0"/>
          <w:marTop w:val="0"/>
          <w:marBottom w:val="0"/>
          <w:divBdr>
            <w:top w:val="none" w:sz="0" w:space="0" w:color="auto"/>
            <w:left w:val="none" w:sz="0" w:space="0" w:color="auto"/>
            <w:bottom w:val="none" w:sz="0" w:space="0" w:color="auto"/>
            <w:right w:val="none" w:sz="0" w:space="0" w:color="auto"/>
          </w:divBdr>
        </w:div>
        <w:div w:id="1617905582">
          <w:marLeft w:val="0"/>
          <w:marRight w:val="0"/>
          <w:marTop w:val="0"/>
          <w:marBottom w:val="0"/>
          <w:divBdr>
            <w:top w:val="none" w:sz="0" w:space="0" w:color="auto"/>
            <w:left w:val="none" w:sz="0" w:space="0" w:color="auto"/>
            <w:bottom w:val="none" w:sz="0" w:space="0" w:color="auto"/>
            <w:right w:val="none" w:sz="0" w:space="0" w:color="auto"/>
          </w:divBdr>
        </w:div>
        <w:div w:id="1617905591">
          <w:marLeft w:val="0"/>
          <w:marRight w:val="0"/>
          <w:marTop w:val="0"/>
          <w:marBottom w:val="0"/>
          <w:divBdr>
            <w:top w:val="none" w:sz="0" w:space="0" w:color="auto"/>
            <w:left w:val="none" w:sz="0" w:space="0" w:color="auto"/>
            <w:bottom w:val="none" w:sz="0" w:space="0" w:color="auto"/>
            <w:right w:val="none" w:sz="0" w:space="0" w:color="auto"/>
          </w:divBdr>
        </w:div>
        <w:div w:id="1617905603">
          <w:marLeft w:val="0"/>
          <w:marRight w:val="0"/>
          <w:marTop w:val="0"/>
          <w:marBottom w:val="0"/>
          <w:divBdr>
            <w:top w:val="none" w:sz="0" w:space="0" w:color="auto"/>
            <w:left w:val="none" w:sz="0" w:space="0" w:color="auto"/>
            <w:bottom w:val="none" w:sz="0" w:space="0" w:color="auto"/>
            <w:right w:val="none" w:sz="0" w:space="0" w:color="auto"/>
          </w:divBdr>
        </w:div>
        <w:div w:id="1617905607">
          <w:marLeft w:val="0"/>
          <w:marRight w:val="0"/>
          <w:marTop w:val="0"/>
          <w:marBottom w:val="0"/>
          <w:divBdr>
            <w:top w:val="none" w:sz="0" w:space="0" w:color="auto"/>
            <w:left w:val="none" w:sz="0" w:space="0" w:color="auto"/>
            <w:bottom w:val="none" w:sz="0" w:space="0" w:color="auto"/>
            <w:right w:val="none" w:sz="0" w:space="0" w:color="auto"/>
          </w:divBdr>
        </w:div>
        <w:div w:id="1617905615">
          <w:marLeft w:val="0"/>
          <w:marRight w:val="0"/>
          <w:marTop w:val="0"/>
          <w:marBottom w:val="0"/>
          <w:divBdr>
            <w:top w:val="none" w:sz="0" w:space="0" w:color="auto"/>
            <w:left w:val="none" w:sz="0" w:space="0" w:color="auto"/>
            <w:bottom w:val="none" w:sz="0" w:space="0" w:color="auto"/>
            <w:right w:val="none" w:sz="0" w:space="0" w:color="auto"/>
          </w:divBdr>
        </w:div>
        <w:div w:id="1617905617">
          <w:marLeft w:val="0"/>
          <w:marRight w:val="0"/>
          <w:marTop w:val="0"/>
          <w:marBottom w:val="0"/>
          <w:divBdr>
            <w:top w:val="none" w:sz="0" w:space="0" w:color="auto"/>
            <w:left w:val="none" w:sz="0" w:space="0" w:color="auto"/>
            <w:bottom w:val="none" w:sz="0" w:space="0" w:color="auto"/>
            <w:right w:val="none" w:sz="0" w:space="0" w:color="auto"/>
          </w:divBdr>
        </w:div>
        <w:div w:id="1617905620">
          <w:marLeft w:val="0"/>
          <w:marRight w:val="0"/>
          <w:marTop w:val="0"/>
          <w:marBottom w:val="0"/>
          <w:divBdr>
            <w:top w:val="none" w:sz="0" w:space="0" w:color="auto"/>
            <w:left w:val="none" w:sz="0" w:space="0" w:color="auto"/>
            <w:bottom w:val="none" w:sz="0" w:space="0" w:color="auto"/>
            <w:right w:val="none" w:sz="0" w:space="0" w:color="auto"/>
          </w:divBdr>
        </w:div>
        <w:div w:id="1617905635">
          <w:marLeft w:val="0"/>
          <w:marRight w:val="0"/>
          <w:marTop w:val="0"/>
          <w:marBottom w:val="0"/>
          <w:divBdr>
            <w:top w:val="none" w:sz="0" w:space="0" w:color="auto"/>
            <w:left w:val="none" w:sz="0" w:space="0" w:color="auto"/>
            <w:bottom w:val="none" w:sz="0" w:space="0" w:color="auto"/>
            <w:right w:val="none" w:sz="0" w:space="0" w:color="auto"/>
          </w:divBdr>
        </w:div>
        <w:div w:id="1617905639">
          <w:marLeft w:val="0"/>
          <w:marRight w:val="0"/>
          <w:marTop w:val="0"/>
          <w:marBottom w:val="0"/>
          <w:divBdr>
            <w:top w:val="none" w:sz="0" w:space="0" w:color="auto"/>
            <w:left w:val="none" w:sz="0" w:space="0" w:color="auto"/>
            <w:bottom w:val="none" w:sz="0" w:space="0" w:color="auto"/>
            <w:right w:val="none" w:sz="0" w:space="0" w:color="auto"/>
          </w:divBdr>
        </w:div>
        <w:div w:id="1617905644">
          <w:marLeft w:val="0"/>
          <w:marRight w:val="0"/>
          <w:marTop w:val="0"/>
          <w:marBottom w:val="0"/>
          <w:divBdr>
            <w:top w:val="none" w:sz="0" w:space="0" w:color="auto"/>
            <w:left w:val="none" w:sz="0" w:space="0" w:color="auto"/>
            <w:bottom w:val="none" w:sz="0" w:space="0" w:color="auto"/>
            <w:right w:val="none" w:sz="0" w:space="0" w:color="auto"/>
          </w:divBdr>
        </w:div>
        <w:div w:id="1617905645">
          <w:marLeft w:val="0"/>
          <w:marRight w:val="0"/>
          <w:marTop w:val="0"/>
          <w:marBottom w:val="0"/>
          <w:divBdr>
            <w:top w:val="none" w:sz="0" w:space="0" w:color="auto"/>
            <w:left w:val="none" w:sz="0" w:space="0" w:color="auto"/>
            <w:bottom w:val="none" w:sz="0" w:space="0" w:color="auto"/>
            <w:right w:val="none" w:sz="0" w:space="0" w:color="auto"/>
          </w:divBdr>
        </w:div>
        <w:div w:id="1617905648">
          <w:marLeft w:val="0"/>
          <w:marRight w:val="0"/>
          <w:marTop w:val="0"/>
          <w:marBottom w:val="0"/>
          <w:divBdr>
            <w:top w:val="none" w:sz="0" w:space="0" w:color="auto"/>
            <w:left w:val="none" w:sz="0" w:space="0" w:color="auto"/>
            <w:bottom w:val="none" w:sz="0" w:space="0" w:color="auto"/>
            <w:right w:val="none" w:sz="0" w:space="0" w:color="auto"/>
          </w:divBdr>
        </w:div>
        <w:div w:id="1617905649">
          <w:marLeft w:val="0"/>
          <w:marRight w:val="0"/>
          <w:marTop w:val="0"/>
          <w:marBottom w:val="0"/>
          <w:divBdr>
            <w:top w:val="none" w:sz="0" w:space="0" w:color="auto"/>
            <w:left w:val="none" w:sz="0" w:space="0" w:color="auto"/>
            <w:bottom w:val="none" w:sz="0" w:space="0" w:color="auto"/>
            <w:right w:val="none" w:sz="0" w:space="0" w:color="auto"/>
          </w:divBdr>
        </w:div>
        <w:div w:id="1617905662">
          <w:marLeft w:val="0"/>
          <w:marRight w:val="0"/>
          <w:marTop w:val="0"/>
          <w:marBottom w:val="0"/>
          <w:divBdr>
            <w:top w:val="none" w:sz="0" w:space="0" w:color="auto"/>
            <w:left w:val="none" w:sz="0" w:space="0" w:color="auto"/>
            <w:bottom w:val="none" w:sz="0" w:space="0" w:color="auto"/>
            <w:right w:val="none" w:sz="0" w:space="0" w:color="auto"/>
          </w:divBdr>
        </w:div>
        <w:div w:id="1617905666">
          <w:marLeft w:val="0"/>
          <w:marRight w:val="0"/>
          <w:marTop w:val="0"/>
          <w:marBottom w:val="0"/>
          <w:divBdr>
            <w:top w:val="none" w:sz="0" w:space="0" w:color="auto"/>
            <w:left w:val="none" w:sz="0" w:space="0" w:color="auto"/>
            <w:bottom w:val="none" w:sz="0" w:space="0" w:color="auto"/>
            <w:right w:val="none" w:sz="0" w:space="0" w:color="auto"/>
          </w:divBdr>
        </w:div>
        <w:div w:id="1617905667">
          <w:marLeft w:val="0"/>
          <w:marRight w:val="0"/>
          <w:marTop w:val="0"/>
          <w:marBottom w:val="0"/>
          <w:divBdr>
            <w:top w:val="none" w:sz="0" w:space="0" w:color="auto"/>
            <w:left w:val="none" w:sz="0" w:space="0" w:color="auto"/>
            <w:bottom w:val="none" w:sz="0" w:space="0" w:color="auto"/>
            <w:right w:val="none" w:sz="0" w:space="0" w:color="auto"/>
          </w:divBdr>
        </w:div>
        <w:div w:id="1617905669">
          <w:marLeft w:val="0"/>
          <w:marRight w:val="0"/>
          <w:marTop w:val="0"/>
          <w:marBottom w:val="0"/>
          <w:divBdr>
            <w:top w:val="none" w:sz="0" w:space="0" w:color="auto"/>
            <w:left w:val="none" w:sz="0" w:space="0" w:color="auto"/>
            <w:bottom w:val="none" w:sz="0" w:space="0" w:color="auto"/>
            <w:right w:val="none" w:sz="0" w:space="0" w:color="auto"/>
          </w:divBdr>
        </w:div>
        <w:div w:id="1617905676">
          <w:marLeft w:val="0"/>
          <w:marRight w:val="0"/>
          <w:marTop w:val="0"/>
          <w:marBottom w:val="0"/>
          <w:divBdr>
            <w:top w:val="none" w:sz="0" w:space="0" w:color="auto"/>
            <w:left w:val="none" w:sz="0" w:space="0" w:color="auto"/>
            <w:bottom w:val="none" w:sz="0" w:space="0" w:color="auto"/>
            <w:right w:val="none" w:sz="0" w:space="0" w:color="auto"/>
          </w:divBdr>
        </w:div>
        <w:div w:id="1617905683">
          <w:marLeft w:val="0"/>
          <w:marRight w:val="0"/>
          <w:marTop w:val="0"/>
          <w:marBottom w:val="0"/>
          <w:divBdr>
            <w:top w:val="none" w:sz="0" w:space="0" w:color="auto"/>
            <w:left w:val="none" w:sz="0" w:space="0" w:color="auto"/>
            <w:bottom w:val="none" w:sz="0" w:space="0" w:color="auto"/>
            <w:right w:val="none" w:sz="0" w:space="0" w:color="auto"/>
          </w:divBdr>
        </w:div>
        <w:div w:id="1617905688">
          <w:marLeft w:val="0"/>
          <w:marRight w:val="0"/>
          <w:marTop w:val="0"/>
          <w:marBottom w:val="0"/>
          <w:divBdr>
            <w:top w:val="none" w:sz="0" w:space="0" w:color="auto"/>
            <w:left w:val="none" w:sz="0" w:space="0" w:color="auto"/>
            <w:bottom w:val="none" w:sz="0" w:space="0" w:color="auto"/>
            <w:right w:val="none" w:sz="0" w:space="0" w:color="auto"/>
          </w:divBdr>
        </w:div>
        <w:div w:id="1617905693">
          <w:marLeft w:val="0"/>
          <w:marRight w:val="0"/>
          <w:marTop w:val="0"/>
          <w:marBottom w:val="0"/>
          <w:divBdr>
            <w:top w:val="none" w:sz="0" w:space="0" w:color="auto"/>
            <w:left w:val="none" w:sz="0" w:space="0" w:color="auto"/>
            <w:bottom w:val="none" w:sz="0" w:space="0" w:color="auto"/>
            <w:right w:val="none" w:sz="0" w:space="0" w:color="auto"/>
          </w:divBdr>
        </w:div>
        <w:div w:id="1617905694">
          <w:marLeft w:val="0"/>
          <w:marRight w:val="0"/>
          <w:marTop w:val="0"/>
          <w:marBottom w:val="0"/>
          <w:divBdr>
            <w:top w:val="none" w:sz="0" w:space="0" w:color="auto"/>
            <w:left w:val="none" w:sz="0" w:space="0" w:color="auto"/>
            <w:bottom w:val="none" w:sz="0" w:space="0" w:color="auto"/>
            <w:right w:val="none" w:sz="0" w:space="0" w:color="auto"/>
          </w:divBdr>
        </w:div>
        <w:div w:id="1617905697">
          <w:marLeft w:val="0"/>
          <w:marRight w:val="0"/>
          <w:marTop w:val="0"/>
          <w:marBottom w:val="0"/>
          <w:divBdr>
            <w:top w:val="none" w:sz="0" w:space="0" w:color="auto"/>
            <w:left w:val="none" w:sz="0" w:space="0" w:color="auto"/>
            <w:bottom w:val="none" w:sz="0" w:space="0" w:color="auto"/>
            <w:right w:val="none" w:sz="0" w:space="0" w:color="auto"/>
          </w:divBdr>
        </w:div>
        <w:div w:id="1617905706">
          <w:marLeft w:val="0"/>
          <w:marRight w:val="0"/>
          <w:marTop w:val="0"/>
          <w:marBottom w:val="0"/>
          <w:divBdr>
            <w:top w:val="none" w:sz="0" w:space="0" w:color="auto"/>
            <w:left w:val="none" w:sz="0" w:space="0" w:color="auto"/>
            <w:bottom w:val="none" w:sz="0" w:space="0" w:color="auto"/>
            <w:right w:val="none" w:sz="0" w:space="0" w:color="auto"/>
          </w:divBdr>
        </w:div>
        <w:div w:id="1617905710">
          <w:marLeft w:val="0"/>
          <w:marRight w:val="0"/>
          <w:marTop w:val="0"/>
          <w:marBottom w:val="0"/>
          <w:divBdr>
            <w:top w:val="none" w:sz="0" w:space="0" w:color="auto"/>
            <w:left w:val="none" w:sz="0" w:space="0" w:color="auto"/>
            <w:bottom w:val="none" w:sz="0" w:space="0" w:color="auto"/>
            <w:right w:val="none" w:sz="0" w:space="0" w:color="auto"/>
          </w:divBdr>
        </w:div>
        <w:div w:id="1617905713">
          <w:marLeft w:val="0"/>
          <w:marRight w:val="0"/>
          <w:marTop w:val="0"/>
          <w:marBottom w:val="0"/>
          <w:divBdr>
            <w:top w:val="none" w:sz="0" w:space="0" w:color="auto"/>
            <w:left w:val="none" w:sz="0" w:space="0" w:color="auto"/>
            <w:bottom w:val="none" w:sz="0" w:space="0" w:color="auto"/>
            <w:right w:val="none" w:sz="0" w:space="0" w:color="auto"/>
          </w:divBdr>
        </w:div>
        <w:div w:id="1617905715">
          <w:marLeft w:val="0"/>
          <w:marRight w:val="0"/>
          <w:marTop w:val="0"/>
          <w:marBottom w:val="0"/>
          <w:divBdr>
            <w:top w:val="none" w:sz="0" w:space="0" w:color="auto"/>
            <w:left w:val="none" w:sz="0" w:space="0" w:color="auto"/>
            <w:bottom w:val="none" w:sz="0" w:space="0" w:color="auto"/>
            <w:right w:val="none" w:sz="0" w:space="0" w:color="auto"/>
          </w:divBdr>
        </w:div>
        <w:div w:id="1617905716">
          <w:marLeft w:val="0"/>
          <w:marRight w:val="0"/>
          <w:marTop w:val="0"/>
          <w:marBottom w:val="0"/>
          <w:divBdr>
            <w:top w:val="none" w:sz="0" w:space="0" w:color="auto"/>
            <w:left w:val="none" w:sz="0" w:space="0" w:color="auto"/>
            <w:bottom w:val="none" w:sz="0" w:space="0" w:color="auto"/>
            <w:right w:val="none" w:sz="0" w:space="0" w:color="auto"/>
          </w:divBdr>
        </w:div>
      </w:divsChild>
    </w:div>
    <w:div w:id="1617905671">
      <w:marLeft w:val="0"/>
      <w:marRight w:val="0"/>
      <w:marTop w:val="0"/>
      <w:marBottom w:val="0"/>
      <w:divBdr>
        <w:top w:val="none" w:sz="0" w:space="0" w:color="auto"/>
        <w:left w:val="none" w:sz="0" w:space="0" w:color="auto"/>
        <w:bottom w:val="none" w:sz="0" w:space="0" w:color="auto"/>
        <w:right w:val="none" w:sz="0" w:space="0" w:color="auto"/>
      </w:divBdr>
      <w:divsChild>
        <w:div w:id="1617905579">
          <w:marLeft w:val="0"/>
          <w:marRight w:val="0"/>
          <w:marTop w:val="0"/>
          <w:marBottom w:val="0"/>
          <w:divBdr>
            <w:top w:val="none" w:sz="0" w:space="0" w:color="auto"/>
            <w:left w:val="none" w:sz="0" w:space="0" w:color="auto"/>
            <w:bottom w:val="none" w:sz="0" w:space="0" w:color="auto"/>
            <w:right w:val="none" w:sz="0" w:space="0" w:color="auto"/>
          </w:divBdr>
        </w:div>
        <w:div w:id="1617905598">
          <w:marLeft w:val="0"/>
          <w:marRight w:val="0"/>
          <w:marTop w:val="0"/>
          <w:marBottom w:val="0"/>
          <w:divBdr>
            <w:top w:val="none" w:sz="0" w:space="0" w:color="auto"/>
            <w:left w:val="none" w:sz="0" w:space="0" w:color="auto"/>
            <w:bottom w:val="none" w:sz="0" w:space="0" w:color="auto"/>
            <w:right w:val="none" w:sz="0" w:space="0" w:color="auto"/>
          </w:divBdr>
        </w:div>
        <w:div w:id="1617905599">
          <w:marLeft w:val="0"/>
          <w:marRight w:val="0"/>
          <w:marTop w:val="0"/>
          <w:marBottom w:val="0"/>
          <w:divBdr>
            <w:top w:val="none" w:sz="0" w:space="0" w:color="auto"/>
            <w:left w:val="none" w:sz="0" w:space="0" w:color="auto"/>
            <w:bottom w:val="none" w:sz="0" w:space="0" w:color="auto"/>
            <w:right w:val="none" w:sz="0" w:space="0" w:color="auto"/>
          </w:divBdr>
        </w:div>
        <w:div w:id="1617905600">
          <w:marLeft w:val="0"/>
          <w:marRight w:val="0"/>
          <w:marTop w:val="0"/>
          <w:marBottom w:val="0"/>
          <w:divBdr>
            <w:top w:val="none" w:sz="0" w:space="0" w:color="auto"/>
            <w:left w:val="none" w:sz="0" w:space="0" w:color="auto"/>
            <w:bottom w:val="none" w:sz="0" w:space="0" w:color="auto"/>
            <w:right w:val="none" w:sz="0" w:space="0" w:color="auto"/>
          </w:divBdr>
        </w:div>
        <w:div w:id="1617905602">
          <w:marLeft w:val="0"/>
          <w:marRight w:val="0"/>
          <w:marTop w:val="0"/>
          <w:marBottom w:val="0"/>
          <w:divBdr>
            <w:top w:val="none" w:sz="0" w:space="0" w:color="auto"/>
            <w:left w:val="none" w:sz="0" w:space="0" w:color="auto"/>
            <w:bottom w:val="none" w:sz="0" w:space="0" w:color="auto"/>
            <w:right w:val="none" w:sz="0" w:space="0" w:color="auto"/>
          </w:divBdr>
        </w:div>
        <w:div w:id="1617905606">
          <w:marLeft w:val="0"/>
          <w:marRight w:val="0"/>
          <w:marTop w:val="0"/>
          <w:marBottom w:val="0"/>
          <w:divBdr>
            <w:top w:val="none" w:sz="0" w:space="0" w:color="auto"/>
            <w:left w:val="none" w:sz="0" w:space="0" w:color="auto"/>
            <w:bottom w:val="none" w:sz="0" w:space="0" w:color="auto"/>
            <w:right w:val="none" w:sz="0" w:space="0" w:color="auto"/>
          </w:divBdr>
        </w:div>
        <w:div w:id="1617905613">
          <w:marLeft w:val="0"/>
          <w:marRight w:val="0"/>
          <w:marTop w:val="0"/>
          <w:marBottom w:val="0"/>
          <w:divBdr>
            <w:top w:val="none" w:sz="0" w:space="0" w:color="auto"/>
            <w:left w:val="none" w:sz="0" w:space="0" w:color="auto"/>
            <w:bottom w:val="none" w:sz="0" w:space="0" w:color="auto"/>
            <w:right w:val="none" w:sz="0" w:space="0" w:color="auto"/>
          </w:divBdr>
        </w:div>
        <w:div w:id="1617905634">
          <w:marLeft w:val="0"/>
          <w:marRight w:val="0"/>
          <w:marTop w:val="0"/>
          <w:marBottom w:val="0"/>
          <w:divBdr>
            <w:top w:val="none" w:sz="0" w:space="0" w:color="auto"/>
            <w:left w:val="none" w:sz="0" w:space="0" w:color="auto"/>
            <w:bottom w:val="none" w:sz="0" w:space="0" w:color="auto"/>
            <w:right w:val="none" w:sz="0" w:space="0" w:color="auto"/>
          </w:divBdr>
        </w:div>
        <w:div w:id="1617905640">
          <w:marLeft w:val="0"/>
          <w:marRight w:val="0"/>
          <w:marTop w:val="0"/>
          <w:marBottom w:val="0"/>
          <w:divBdr>
            <w:top w:val="none" w:sz="0" w:space="0" w:color="auto"/>
            <w:left w:val="none" w:sz="0" w:space="0" w:color="auto"/>
            <w:bottom w:val="none" w:sz="0" w:space="0" w:color="auto"/>
            <w:right w:val="none" w:sz="0" w:space="0" w:color="auto"/>
          </w:divBdr>
        </w:div>
        <w:div w:id="1617905641">
          <w:marLeft w:val="0"/>
          <w:marRight w:val="0"/>
          <w:marTop w:val="0"/>
          <w:marBottom w:val="0"/>
          <w:divBdr>
            <w:top w:val="none" w:sz="0" w:space="0" w:color="auto"/>
            <w:left w:val="none" w:sz="0" w:space="0" w:color="auto"/>
            <w:bottom w:val="none" w:sz="0" w:space="0" w:color="auto"/>
            <w:right w:val="none" w:sz="0" w:space="0" w:color="auto"/>
          </w:divBdr>
        </w:div>
        <w:div w:id="1617905642">
          <w:marLeft w:val="0"/>
          <w:marRight w:val="0"/>
          <w:marTop w:val="0"/>
          <w:marBottom w:val="0"/>
          <w:divBdr>
            <w:top w:val="none" w:sz="0" w:space="0" w:color="auto"/>
            <w:left w:val="none" w:sz="0" w:space="0" w:color="auto"/>
            <w:bottom w:val="none" w:sz="0" w:space="0" w:color="auto"/>
            <w:right w:val="none" w:sz="0" w:space="0" w:color="auto"/>
          </w:divBdr>
        </w:div>
        <w:div w:id="1617905643">
          <w:marLeft w:val="0"/>
          <w:marRight w:val="0"/>
          <w:marTop w:val="0"/>
          <w:marBottom w:val="0"/>
          <w:divBdr>
            <w:top w:val="none" w:sz="0" w:space="0" w:color="auto"/>
            <w:left w:val="none" w:sz="0" w:space="0" w:color="auto"/>
            <w:bottom w:val="none" w:sz="0" w:space="0" w:color="auto"/>
            <w:right w:val="none" w:sz="0" w:space="0" w:color="auto"/>
          </w:divBdr>
        </w:div>
        <w:div w:id="1617905660">
          <w:marLeft w:val="0"/>
          <w:marRight w:val="0"/>
          <w:marTop w:val="0"/>
          <w:marBottom w:val="0"/>
          <w:divBdr>
            <w:top w:val="none" w:sz="0" w:space="0" w:color="auto"/>
            <w:left w:val="none" w:sz="0" w:space="0" w:color="auto"/>
            <w:bottom w:val="none" w:sz="0" w:space="0" w:color="auto"/>
            <w:right w:val="none" w:sz="0" w:space="0" w:color="auto"/>
          </w:divBdr>
        </w:div>
        <w:div w:id="1617905665">
          <w:marLeft w:val="0"/>
          <w:marRight w:val="0"/>
          <w:marTop w:val="0"/>
          <w:marBottom w:val="0"/>
          <w:divBdr>
            <w:top w:val="none" w:sz="0" w:space="0" w:color="auto"/>
            <w:left w:val="none" w:sz="0" w:space="0" w:color="auto"/>
            <w:bottom w:val="none" w:sz="0" w:space="0" w:color="auto"/>
            <w:right w:val="none" w:sz="0" w:space="0" w:color="auto"/>
          </w:divBdr>
        </w:div>
        <w:div w:id="1617905672">
          <w:marLeft w:val="0"/>
          <w:marRight w:val="0"/>
          <w:marTop w:val="0"/>
          <w:marBottom w:val="0"/>
          <w:divBdr>
            <w:top w:val="none" w:sz="0" w:space="0" w:color="auto"/>
            <w:left w:val="none" w:sz="0" w:space="0" w:color="auto"/>
            <w:bottom w:val="none" w:sz="0" w:space="0" w:color="auto"/>
            <w:right w:val="none" w:sz="0" w:space="0" w:color="auto"/>
          </w:divBdr>
        </w:div>
        <w:div w:id="1617905680">
          <w:marLeft w:val="0"/>
          <w:marRight w:val="0"/>
          <w:marTop w:val="0"/>
          <w:marBottom w:val="0"/>
          <w:divBdr>
            <w:top w:val="none" w:sz="0" w:space="0" w:color="auto"/>
            <w:left w:val="none" w:sz="0" w:space="0" w:color="auto"/>
            <w:bottom w:val="none" w:sz="0" w:space="0" w:color="auto"/>
            <w:right w:val="none" w:sz="0" w:space="0" w:color="auto"/>
          </w:divBdr>
        </w:div>
        <w:div w:id="1617905681">
          <w:marLeft w:val="0"/>
          <w:marRight w:val="0"/>
          <w:marTop w:val="0"/>
          <w:marBottom w:val="0"/>
          <w:divBdr>
            <w:top w:val="none" w:sz="0" w:space="0" w:color="auto"/>
            <w:left w:val="none" w:sz="0" w:space="0" w:color="auto"/>
            <w:bottom w:val="none" w:sz="0" w:space="0" w:color="auto"/>
            <w:right w:val="none" w:sz="0" w:space="0" w:color="auto"/>
          </w:divBdr>
        </w:div>
        <w:div w:id="1617905686">
          <w:marLeft w:val="0"/>
          <w:marRight w:val="0"/>
          <w:marTop w:val="0"/>
          <w:marBottom w:val="0"/>
          <w:divBdr>
            <w:top w:val="none" w:sz="0" w:space="0" w:color="auto"/>
            <w:left w:val="none" w:sz="0" w:space="0" w:color="auto"/>
            <w:bottom w:val="none" w:sz="0" w:space="0" w:color="auto"/>
            <w:right w:val="none" w:sz="0" w:space="0" w:color="auto"/>
          </w:divBdr>
        </w:div>
        <w:div w:id="1617905687">
          <w:marLeft w:val="0"/>
          <w:marRight w:val="0"/>
          <w:marTop w:val="0"/>
          <w:marBottom w:val="0"/>
          <w:divBdr>
            <w:top w:val="none" w:sz="0" w:space="0" w:color="auto"/>
            <w:left w:val="none" w:sz="0" w:space="0" w:color="auto"/>
            <w:bottom w:val="none" w:sz="0" w:space="0" w:color="auto"/>
            <w:right w:val="none" w:sz="0" w:space="0" w:color="auto"/>
          </w:divBdr>
        </w:div>
        <w:div w:id="1617905707">
          <w:marLeft w:val="0"/>
          <w:marRight w:val="0"/>
          <w:marTop w:val="0"/>
          <w:marBottom w:val="0"/>
          <w:divBdr>
            <w:top w:val="none" w:sz="0" w:space="0" w:color="auto"/>
            <w:left w:val="none" w:sz="0" w:space="0" w:color="auto"/>
            <w:bottom w:val="none" w:sz="0" w:space="0" w:color="auto"/>
            <w:right w:val="none" w:sz="0" w:space="0" w:color="auto"/>
          </w:divBdr>
        </w:div>
        <w:div w:id="1617905712">
          <w:marLeft w:val="0"/>
          <w:marRight w:val="0"/>
          <w:marTop w:val="0"/>
          <w:marBottom w:val="0"/>
          <w:divBdr>
            <w:top w:val="none" w:sz="0" w:space="0" w:color="auto"/>
            <w:left w:val="none" w:sz="0" w:space="0" w:color="auto"/>
            <w:bottom w:val="none" w:sz="0" w:space="0" w:color="auto"/>
            <w:right w:val="none" w:sz="0" w:space="0" w:color="auto"/>
          </w:divBdr>
        </w:div>
        <w:div w:id="1617905714">
          <w:marLeft w:val="0"/>
          <w:marRight w:val="0"/>
          <w:marTop w:val="0"/>
          <w:marBottom w:val="0"/>
          <w:divBdr>
            <w:top w:val="none" w:sz="0" w:space="0" w:color="auto"/>
            <w:left w:val="none" w:sz="0" w:space="0" w:color="auto"/>
            <w:bottom w:val="none" w:sz="0" w:space="0" w:color="auto"/>
            <w:right w:val="none" w:sz="0" w:space="0" w:color="auto"/>
          </w:divBdr>
        </w:div>
        <w:div w:id="1617905718">
          <w:marLeft w:val="0"/>
          <w:marRight w:val="0"/>
          <w:marTop w:val="0"/>
          <w:marBottom w:val="0"/>
          <w:divBdr>
            <w:top w:val="none" w:sz="0" w:space="0" w:color="auto"/>
            <w:left w:val="none" w:sz="0" w:space="0" w:color="auto"/>
            <w:bottom w:val="none" w:sz="0" w:space="0" w:color="auto"/>
            <w:right w:val="none" w:sz="0" w:space="0" w:color="auto"/>
          </w:divBdr>
        </w:div>
        <w:div w:id="1617905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ncbi.nlm.nih.gov/pubmed/170877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emf"/><Relationship Id="rId10" Type="http://schemas.openxmlformats.org/officeDocument/2006/relationships/image" Target="media/image4.wmf"/><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wmf"/><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29</Pages>
  <Words>6616</Words>
  <Characters>-32766</Characters>
  <Application>Microsoft Office Outlook</Application>
  <DocSecurity>0</DocSecurity>
  <Lines>0</Lines>
  <Paragraphs>0</Paragraphs>
  <ScaleCrop>false</ScaleCrop>
  <Company>NHSBT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for the Management of Major Haemorrhage</dc:title>
  <dc:subject/>
  <dc:creator>PEND0005</dc:creator>
  <cp:keywords/>
  <dc:description/>
  <cp:lastModifiedBy>came0004</cp:lastModifiedBy>
  <cp:revision>2</cp:revision>
  <cp:lastPrinted>2012-04-20T08:34:00Z</cp:lastPrinted>
  <dcterms:created xsi:type="dcterms:W3CDTF">2014-11-05T14:30:00Z</dcterms:created>
  <dcterms:modified xsi:type="dcterms:W3CDTF">2014-11-05T14:30:00Z</dcterms:modified>
</cp:coreProperties>
</file>